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D2F1E2" w14:textId="77777777" w:rsidR="003E00ED" w:rsidRDefault="003D1C64">
      <w:pPr>
        <w:spacing w:after="0" w:line="240" w:lineRule="auto"/>
        <w:jc w:val="center"/>
        <w:rPr>
          <w:rFonts w:ascii="Arial" w:eastAsia="Arial" w:hAnsi="Arial" w:cs="Arial"/>
          <w:sz w:val="16"/>
          <w:szCs w:val="16"/>
        </w:rPr>
      </w:pPr>
      <w:r>
        <w:rPr>
          <w:rFonts w:ascii="Arial" w:eastAsia="Arial" w:hAnsi="Arial" w:cs="Arial"/>
          <w:sz w:val="16"/>
          <w:szCs w:val="16"/>
        </w:rPr>
        <w:t xml:space="preserve">U.S. Patent Nos. 11, 019,822 B2 and 11,950,599 </w:t>
      </w:r>
      <w:r w:rsidRPr="00BB12BB">
        <w:rPr>
          <w:rFonts w:ascii="Arial" w:eastAsia="Arial" w:hAnsi="Arial" w:cs="Arial"/>
          <w:sz w:val="14"/>
          <w:szCs w:val="14"/>
        </w:rPr>
        <w:t>B2</w:t>
      </w:r>
      <w:r w:rsidRPr="00BB12BB">
        <w:rPr>
          <w:rFonts w:ascii="Arial" w:eastAsia="Arial" w:hAnsi="Arial" w:cs="Arial"/>
          <w:sz w:val="18"/>
          <w:szCs w:val="18"/>
        </w:rPr>
        <w:t xml:space="preserve">   </w:t>
      </w:r>
      <w:r w:rsidRPr="00BB12BB">
        <w:rPr>
          <w:rFonts w:ascii="Arial" w:eastAsia="Arial" w:hAnsi="Arial" w:cs="Arial"/>
          <w:sz w:val="72"/>
          <w:szCs w:val="72"/>
        </w:rPr>
        <w:t xml:space="preserve">Solar Guard </w:t>
      </w:r>
      <w:r>
        <w:rPr>
          <w:rFonts w:ascii="Arial" w:eastAsia="Arial" w:hAnsi="Arial" w:cs="Arial"/>
          <w:sz w:val="16"/>
          <w:szCs w:val="16"/>
        </w:rPr>
        <w:t>Canada 3, 080,127 and Australia 2018360482</w:t>
      </w:r>
    </w:p>
    <w:p w14:paraId="4996350E" w14:textId="1FEC6A76" w:rsidR="003E00ED" w:rsidRPr="00BB12BB" w:rsidRDefault="00BB12BB">
      <w:pPr>
        <w:spacing w:after="0" w:line="240" w:lineRule="auto"/>
        <w:jc w:val="center"/>
        <w:rPr>
          <w:rFonts w:ascii="Arial" w:eastAsia="Arial" w:hAnsi="Arial" w:cs="Arial"/>
          <w:sz w:val="28"/>
          <w:szCs w:val="28"/>
        </w:rPr>
      </w:pPr>
      <w:r w:rsidRPr="00BB12BB">
        <w:rPr>
          <w:rFonts w:ascii="Arial" w:eastAsia="Arial" w:hAnsi="Arial" w:cs="Arial"/>
          <w:sz w:val="28"/>
          <w:szCs w:val="28"/>
        </w:rPr>
        <w:t>For All Crops</w:t>
      </w:r>
    </w:p>
    <w:p w14:paraId="6035EA46" w14:textId="0A3187A2" w:rsidR="003E00ED" w:rsidRPr="00BB12BB" w:rsidRDefault="003D1C64" w:rsidP="00BB12BB">
      <w:pPr>
        <w:spacing w:after="0" w:line="240" w:lineRule="auto"/>
        <w:jc w:val="center"/>
        <w:rPr>
          <w:rFonts w:ascii="Arial" w:eastAsia="Arial" w:hAnsi="Arial" w:cs="Arial"/>
          <w:sz w:val="22"/>
          <w:szCs w:val="22"/>
        </w:rPr>
      </w:pPr>
      <w:r w:rsidRPr="00BB12BB">
        <w:rPr>
          <w:rFonts w:ascii="Arial" w:eastAsia="Arial" w:hAnsi="Arial" w:cs="Arial"/>
          <w:sz w:val="22"/>
          <w:szCs w:val="22"/>
        </w:rPr>
        <w:t>Solar Guard is an enhanced light-transmitting calcite mineral that optimizes photosynthesis. It keeps plants cooler for longer, minimizing abiotic damage and facilitating better water use efficiency (WUE).</w:t>
      </w:r>
    </w:p>
    <w:p w14:paraId="0F697153" w14:textId="77777777" w:rsidR="003E00ED" w:rsidRPr="00BB12BB" w:rsidRDefault="003D1C64">
      <w:pPr>
        <w:spacing w:after="0"/>
        <w:jc w:val="center"/>
        <w:rPr>
          <w:rFonts w:ascii="Arial" w:eastAsia="Arial" w:hAnsi="Arial" w:cs="Arial"/>
          <w:b/>
          <w:sz w:val="22"/>
          <w:szCs w:val="22"/>
        </w:rPr>
      </w:pPr>
      <w:r w:rsidRPr="00BB12BB">
        <w:rPr>
          <w:rFonts w:ascii="Arial" w:eastAsia="Arial" w:hAnsi="Arial" w:cs="Arial"/>
          <w:b/>
          <w:sz w:val="22"/>
          <w:szCs w:val="22"/>
        </w:rPr>
        <w:t xml:space="preserve">   Ingredients</w:t>
      </w:r>
      <w:r w:rsidRPr="00BB12BB">
        <w:rPr>
          <w:rFonts w:ascii="Arial" w:eastAsia="Arial" w:hAnsi="Arial" w:cs="Arial"/>
          <w:b/>
          <w:sz w:val="22"/>
          <w:szCs w:val="22"/>
        </w:rPr>
        <w:tab/>
      </w:r>
      <w:r w:rsidRPr="00BB12BB">
        <w:rPr>
          <w:rFonts w:ascii="Arial" w:eastAsia="Arial" w:hAnsi="Arial" w:cs="Arial"/>
          <w:b/>
          <w:sz w:val="22"/>
          <w:szCs w:val="22"/>
        </w:rPr>
        <w:tab/>
      </w:r>
      <w:r w:rsidRPr="00BB12BB">
        <w:rPr>
          <w:rFonts w:ascii="Arial" w:eastAsia="Arial" w:hAnsi="Arial" w:cs="Arial"/>
          <w:b/>
          <w:sz w:val="22"/>
          <w:szCs w:val="22"/>
        </w:rPr>
        <w:tab/>
      </w:r>
      <w:r w:rsidRPr="00BB12BB">
        <w:rPr>
          <w:rFonts w:ascii="Arial" w:eastAsia="Arial" w:hAnsi="Arial" w:cs="Arial"/>
          <w:b/>
          <w:sz w:val="22"/>
          <w:szCs w:val="22"/>
        </w:rPr>
        <w:tab/>
      </w:r>
      <w:r w:rsidRPr="00BB12BB">
        <w:rPr>
          <w:rFonts w:ascii="Arial" w:eastAsia="Arial" w:hAnsi="Arial" w:cs="Arial"/>
          <w:b/>
          <w:sz w:val="22"/>
          <w:szCs w:val="22"/>
        </w:rPr>
        <w:tab/>
      </w:r>
      <w:r w:rsidRPr="00BB12BB">
        <w:rPr>
          <w:rFonts w:ascii="Arial" w:eastAsia="Arial" w:hAnsi="Arial" w:cs="Arial"/>
          <w:b/>
          <w:sz w:val="22"/>
          <w:szCs w:val="22"/>
        </w:rPr>
        <w:tab/>
      </w:r>
      <w:r w:rsidRPr="00BB12BB">
        <w:rPr>
          <w:rFonts w:ascii="Arial" w:eastAsia="Arial" w:hAnsi="Arial" w:cs="Arial"/>
          <w:b/>
          <w:sz w:val="22"/>
          <w:szCs w:val="22"/>
        </w:rPr>
        <w:tab/>
      </w:r>
      <w:r w:rsidRPr="00BB12BB">
        <w:rPr>
          <w:rFonts w:ascii="Arial" w:eastAsia="Arial" w:hAnsi="Arial" w:cs="Arial"/>
          <w:b/>
          <w:sz w:val="22"/>
          <w:szCs w:val="22"/>
        </w:rPr>
        <w:tab/>
      </w:r>
      <w:r w:rsidRPr="00BB12BB">
        <w:rPr>
          <w:rFonts w:ascii="Arial" w:eastAsia="Arial" w:hAnsi="Arial" w:cs="Arial"/>
          <w:b/>
          <w:sz w:val="22"/>
          <w:szCs w:val="22"/>
        </w:rPr>
        <w:tab/>
      </w:r>
      <w:r w:rsidRPr="00BB12BB">
        <w:rPr>
          <w:rFonts w:ascii="Arial" w:eastAsia="Arial" w:hAnsi="Arial" w:cs="Arial"/>
          <w:b/>
          <w:sz w:val="22"/>
          <w:szCs w:val="22"/>
        </w:rPr>
        <w:tab/>
      </w:r>
      <w:r w:rsidRPr="00BB12BB">
        <w:rPr>
          <w:rFonts w:ascii="Arial" w:eastAsia="Arial" w:hAnsi="Arial" w:cs="Arial"/>
          <w:b/>
          <w:sz w:val="22"/>
          <w:szCs w:val="22"/>
        </w:rPr>
        <w:tab/>
      </w:r>
      <w:r w:rsidRPr="00BB12BB">
        <w:rPr>
          <w:rFonts w:ascii="Arial" w:eastAsia="Arial" w:hAnsi="Arial" w:cs="Arial"/>
          <w:b/>
          <w:sz w:val="22"/>
          <w:szCs w:val="22"/>
        </w:rPr>
        <w:tab/>
        <w:t>By Weight</w:t>
      </w:r>
    </w:p>
    <w:p w14:paraId="5B2D3439" w14:textId="77777777" w:rsidR="003E00ED" w:rsidRPr="00BB12BB" w:rsidRDefault="003D1C64">
      <w:pPr>
        <w:spacing w:after="0"/>
        <w:jc w:val="center"/>
        <w:rPr>
          <w:rFonts w:ascii="Arial" w:eastAsia="Arial" w:hAnsi="Arial" w:cs="Arial"/>
          <w:sz w:val="22"/>
          <w:szCs w:val="22"/>
        </w:rPr>
      </w:pPr>
      <w:r w:rsidRPr="00BB12BB">
        <w:rPr>
          <w:rFonts w:ascii="Arial" w:eastAsia="Arial" w:hAnsi="Arial" w:cs="Arial"/>
          <w:sz w:val="22"/>
          <w:szCs w:val="22"/>
        </w:rPr>
        <w:t>Calcium Carbonate………………………………………………………………………............    59%</w:t>
      </w:r>
    </w:p>
    <w:p w14:paraId="70395BF3" w14:textId="77777777" w:rsidR="003E00ED" w:rsidRPr="00BB12BB" w:rsidRDefault="003D1C64">
      <w:pPr>
        <w:spacing w:after="0"/>
        <w:jc w:val="center"/>
        <w:rPr>
          <w:rFonts w:ascii="Arial" w:eastAsia="Arial" w:hAnsi="Arial" w:cs="Arial"/>
          <w:sz w:val="22"/>
          <w:szCs w:val="22"/>
        </w:rPr>
      </w:pPr>
      <w:r w:rsidRPr="00BB12BB">
        <w:rPr>
          <w:rFonts w:ascii="Arial" w:eastAsia="Arial" w:hAnsi="Arial" w:cs="Arial"/>
          <w:b/>
          <w:sz w:val="22"/>
          <w:szCs w:val="22"/>
        </w:rPr>
        <w:t>Inert Ingredients</w:t>
      </w:r>
      <w:r w:rsidRPr="00BB12BB">
        <w:rPr>
          <w:rFonts w:ascii="Arial" w:eastAsia="Arial" w:hAnsi="Arial" w:cs="Arial"/>
          <w:sz w:val="22"/>
          <w:szCs w:val="22"/>
        </w:rPr>
        <w:t>………………………………………………………………………………….    41%</w:t>
      </w:r>
    </w:p>
    <w:p w14:paraId="2B0F008E" w14:textId="130A38CB" w:rsidR="003E00ED" w:rsidRPr="00BB12BB" w:rsidRDefault="003D1C64" w:rsidP="00BB12BB">
      <w:pPr>
        <w:spacing w:after="0"/>
        <w:jc w:val="center"/>
        <w:rPr>
          <w:rFonts w:ascii="Arial" w:eastAsia="Arial" w:hAnsi="Arial" w:cs="Arial"/>
          <w:sz w:val="22"/>
          <w:szCs w:val="22"/>
        </w:rPr>
      </w:pPr>
      <w:r w:rsidRPr="00BB12BB">
        <w:rPr>
          <w:rFonts w:ascii="Arial" w:eastAsia="Arial" w:hAnsi="Arial" w:cs="Arial"/>
          <w:sz w:val="22"/>
          <w:szCs w:val="22"/>
        </w:rPr>
        <w:t>Total…………………………………………………………………………………………………  100%</w:t>
      </w:r>
    </w:p>
    <w:p w14:paraId="79950AB8" w14:textId="77777777" w:rsidR="003E00ED" w:rsidRPr="00BB12BB" w:rsidRDefault="003D1C64">
      <w:pPr>
        <w:spacing w:after="0"/>
        <w:jc w:val="center"/>
        <w:rPr>
          <w:rFonts w:ascii="Arial" w:eastAsia="Arial" w:hAnsi="Arial" w:cs="Arial"/>
          <w:b/>
        </w:rPr>
      </w:pPr>
      <w:r w:rsidRPr="00BB12BB">
        <w:rPr>
          <w:rFonts w:ascii="Arial" w:eastAsia="Arial" w:hAnsi="Arial" w:cs="Arial"/>
          <w:b/>
        </w:rPr>
        <w:t>KEEP OUT OF REACH OF CHILDREN</w:t>
      </w:r>
    </w:p>
    <w:p w14:paraId="7194EFA8" w14:textId="292D1B0F" w:rsidR="003E00ED" w:rsidRDefault="003D1C64" w:rsidP="00BB12BB">
      <w:pPr>
        <w:spacing w:after="0"/>
        <w:jc w:val="center"/>
        <w:rPr>
          <w:rFonts w:ascii="Arial" w:eastAsia="Arial" w:hAnsi="Arial" w:cs="Arial"/>
          <w:sz w:val="16"/>
          <w:szCs w:val="16"/>
          <w:lang w:val="es-ES"/>
        </w:rPr>
      </w:pPr>
      <w:r w:rsidRPr="00BB12BB">
        <w:rPr>
          <w:rFonts w:ascii="Arial" w:eastAsia="Arial" w:hAnsi="Arial" w:cs="Arial"/>
          <w:sz w:val="16"/>
          <w:szCs w:val="16"/>
          <w:lang w:val="es-ES"/>
        </w:rPr>
        <w:t>Mantener fuera del alcance de los niños</w:t>
      </w:r>
    </w:p>
    <w:p w14:paraId="708CB41E" w14:textId="77777777" w:rsidR="00BB12BB" w:rsidRPr="00BB12BB" w:rsidRDefault="00BB12BB" w:rsidP="00BB12BB">
      <w:pPr>
        <w:spacing w:after="0"/>
        <w:jc w:val="center"/>
        <w:rPr>
          <w:rFonts w:ascii="Arial" w:eastAsia="Arial" w:hAnsi="Arial" w:cs="Arial"/>
          <w:sz w:val="16"/>
          <w:szCs w:val="16"/>
          <w:lang w:val="es-ES"/>
        </w:rPr>
      </w:pPr>
    </w:p>
    <w:p w14:paraId="79BAFD29" w14:textId="77777777" w:rsidR="003E00ED" w:rsidRPr="000B3117" w:rsidRDefault="003D1C64">
      <w:pPr>
        <w:spacing w:after="0"/>
        <w:rPr>
          <w:rFonts w:ascii="Arial" w:eastAsia="Arial" w:hAnsi="Arial" w:cs="Arial"/>
          <w:sz w:val="18"/>
          <w:szCs w:val="18"/>
        </w:rPr>
      </w:pPr>
      <w:r w:rsidRPr="000B3117">
        <w:rPr>
          <w:rFonts w:ascii="Arial" w:eastAsia="Arial" w:hAnsi="Arial" w:cs="Arial"/>
          <w:b/>
          <w:sz w:val="18"/>
          <w:szCs w:val="18"/>
        </w:rPr>
        <w:t xml:space="preserve">Precautions and First Aid: </w:t>
      </w:r>
      <w:r w:rsidRPr="000B3117">
        <w:rPr>
          <w:rFonts w:ascii="Arial" w:eastAsia="Arial" w:hAnsi="Arial" w:cs="Arial"/>
          <w:sz w:val="18"/>
          <w:szCs w:val="18"/>
        </w:rPr>
        <w:t>Do not inhale mist, dust, or vapor. Avoid contact with eyes. Do not ingest. Wash thoroughly with soap and water after handling.</w:t>
      </w:r>
    </w:p>
    <w:p w14:paraId="158EF4ED" w14:textId="77777777" w:rsidR="003E00ED" w:rsidRPr="000B3117" w:rsidRDefault="003D1C64">
      <w:pPr>
        <w:spacing w:after="0"/>
        <w:rPr>
          <w:rFonts w:ascii="Arial" w:eastAsia="Arial" w:hAnsi="Arial" w:cs="Arial"/>
          <w:sz w:val="18"/>
          <w:szCs w:val="18"/>
        </w:rPr>
      </w:pPr>
      <w:r w:rsidRPr="000B3117">
        <w:rPr>
          <w:rFonts w:ascii="Arial" w:eastAsia="Arial" w:hAnsi="Arial" w:cs="Arial"/>
          <w:sz w:val="18"/>
          <w:szCs w:val="18"/>
        </w:rPr>
        <w:t>For inhalation exposure, remove to fresh air. If eye exposure occurs, flush thoroughly with water for at least 15 minutes. If ingested, seek medical advice.</w:t>
      </w:r>
    </w:p>
    <w:p w14:paraId="2856D249" w14:textId="77777777" w:rsidR="003E00ED" w:rsidRPr="000B3117" w:rsidRDefault="003E00ED">
      <w:pPr>
        <w:spacing w:after="0"/>
        <w:rPr>
          <w:rFonts w:ascii="Arial" w:eastAsia="Arial" w:hAnsi="Arial" w:cs="Arial"/>
          <w:sz w:val="18"/>
          <w:szCs w:val="18"/>
        </w:rPr>
      </w:pPr>
    </w:p>
    <w:p w14:paraId="3D62BABD" w14:textId="443F4E06" w:rsidR="00BB12BB" w:rsidRPr="000B3117" w:rsidRDefault="003D1C64" w:rsidP="00BB12BB">
      <w:pPr>
        <w:spacing w:after="0"/>
        <w:rPr>
          <w:rFonts w:ascii="Arial" w:eastAsia="Arial" w:hAnsi="Arial" w:cs="Arial"/>
          <w:sz w:val="18"/>
          <w:szCs w:val="18"/>
        </w:rPr>
      </w:pPr>
      <w:r w:rsidRPr="000B3117">
        <w:rPr>
          <w:rFonts w:ascii="Arial" w:eastAsia="Arial" w:hAnsi="Arial" w:cs="Arial"/>
          <w:b/>
          <w:sz w:val="18"/>
          <w:szCs w:val="18"/>
        </w:rPr>
        <w:t xml:space="preserve">Personal Protective Equipment (PPE): </w:t>
      </w:r>
      <w:r w:rsidRPr="000B3117">
        <w:rPr>
          <w:rFonts w:ascii="Arial" w:eastAsia="Arial" w:hAnsi="Arial" w:cs="Arial"/>
          <w:sz w:val="18"/>
          <w:szCs w:val="18"/>
        </w:rPr>
        <w:t>Wear eye production. A dust/mist filtering respirator is recommended in the event of possible exposure to mist during application.</w:t>
      </w:r>
      <w:r w:rsidRPr="000B3117">
        <w:rPr>
          <w:rFonts w:ascii="Arial" w:eastAsia="Arial" w:hAnsi="Arial" w:cs="Arial"/>
          <w:b/>
          <w:sz w:val="18"/>
          <w:szCs w:val="18"/>
        </w:rPr>
        <w:t xml:space="preserve"> </w:t>
      </w:r>
      <w:r w:rsidRPr="000B3117">
        <w:rPr>
          <w:rFonts w:ascii="Arial" w:eastAsia="Arial" w:hAnsi="Arial" w:cs="Arial"/>
          <w:sz w:val="18"/>
          <w:szCs w:val="18"/>
        </w:rPr>
        <w:t xml:space="preserve">See product Safety Data Sheet (SDS) for additional PPE requirements. </w:t>
      </w:r>
    </w:p>
    <w:p w14:paraId="7C8C155C" w14:textId="77777777" w:rsidR="00BB12BB" w:rsidRPr="000B3117" w:rsidRDefault="00BB12BB" w:rsidP="00BB12BB">
      <w:pPr>
        <w:spacing w:after="0"/>
        <w:rPr>
          <w:rFonts w:ascii="Arial" w:eastAsia="Arial" w:hAnsi="Arial" w:cs="Arial"/>
          <w:sz w:val="18"/>
          <w:szCs w:val="18"/>
        </w:rPr>
      </w:pPr>
    </w:p>
    <w:p w14:paraId="1DB2D60F" w14:textId="77CB42C9" w:rsidR="00BB12BB" w:rsidRPr="000B3117" w:rsidRDefault="00315305" w:rsidP="000B3117">
      <w:pPr>
        <w:jc w:val="center"/>
        <w:rPr>
          <w:rFonts w:ascii="Arial" w:eastAsia="Arial" w:hAnsi="Arial" w:cs="Arial"/>
          <w:b/>
          <w:sz w:val="22"/>
          <w:szCs w:val="22"/>
        </w:rPr>
      </w:pPr>
      <w:r w:rsidRPr="000B3117">
        <w:rPr>
          <w:rFonts w:ascii="Arial" w:eastAsia="Arial" w:hAnsi="Arial" w:cs="Arial"/>
          <w:b/>
          <w:sz w:val="22"/>
          <w:szCs w:val="22"/>
        </w:rPr>
        <w:t>DIRECTIONS FOR USE</w:t>
      </w:r>
    </w:p>
    <w:p w14:paraId="70CAC288" w14:textId="6CBADE97" w:rsidR="00BB12BB" w:rsidRPr="000B3117" w:rsidRDefault="00315305" w:rsidP="00BB12BB">
      <w:pPr>
        <w:rPr>
          <w:rFonts w:ascii="Arial" w:eastAsia="Arial" w:hAnsi="Arial" w:cs="Arial"/>
          <w:sz w:val="18"/>
          <w:szCs w:val="18"/>
        </w:rPr>
      </w:pPr>
      <w:r w:rsidRPr="000B3117">
        <w:rPr>
          <w:rFonts w:ascii="Arial" w:eastAsia="Arial" w:hAnsi="Arial" w:cs="Arial"/>
          <w:b/>
          <w:sz w:val="18"/>
          <w:szCs w:val="18"/>
        </w:rPr>
        <w:t>General information:</w:t>
      </w:r>
      <w:r w:rsidR="00BB12BB" w:rsidRPr="000B3117">
        <w:rPr>
          <w:rFonts w:ascii="Arial" w:eastAsia="Arial" w:hAnsi="Arial" w:cs="Arial"/>
          <w:sz w:val="18"/>
          <w:szCs w:val="18"/>
        </w:rPr>
        <w:t xml:space="preserve"> Solar Guard is an enhanced light-transmitting calcite mineral that optimizes photosynthesis, enhances carbon capture, and promotes better water use efficiency (WUE). Solar Guard keeps plants cooler for longer, minimizing abiotic damage and facilitating better water use efficiency (WUE). Water dilution is extremely important for target coverage, as particle distribution is key to functionality. Maximum leaf adherence occurs after 72 hours of no rainfall or irrigation. </w:t>
      </w:r>
    </w:p>
    <w:p w14:paraId="2D95C761" w14:textId="36EF62EC" w:rsidR="00BB12BB" w:rsidRPr="000B3117" w:rsidRDefault="00315305" w:rsidP="00BB12BB">
      <w:pPr>
        <w:rPr>
          <w:rFonts w:ascii="Arial" w:eastAsia="Arial" w:hAnsi="Arial" w:cs="Arial"/>
          <w:sz w:val="18"/>
          <w:szCs w:val="18"/>
        </w:rPr>
      </w:pPr>
      <w:r w:rsidRPr="000B3117">
        <w:rPr>
          <w:rFonts w:ascii="Arial" w:eastAsia="Arial" w:hAnsi="Arial" w:cs="Arial"/>
          <w:b/>
          <w:sz w:val="18"/>
          <w:szCs w:val="18"/>
        </w:rPr>
        <w:t>Compatibility:</w:t>
      </w:r>
      <w:r w:rsidR="00BB12BB" w:rsidRPr="000B3117">
        <w:rPr>
          <w:rFonts w:ascii="Arial" w:eastAsia="Arial" w:hAnsi="Arial" w:cs="Arial"/>
          <w:sz w:val="18"/>
          <w:szCs w:val="18"/>
        </w:rPr>
        <w:t xml:space="preserve"> Always conduct a jar test to ensure physical compatibility with the intended tank mix. The jar test involves mixing a small amount of Solar Guard with the other products in a jar and observing for any signs of incompatibility, such as clumping or separation. Treat a small target area for the desired effect. Never mix with phosphate fertilizers or silicas. Solar Guard is compatible with most fungicides, insecticides, and surfactants that are not acid-based. It is an alkaline product. </w:t>
      </w:r>
    </w:p>
    <w:p w14:paraId="660EA456" w14:textId="1DB7763E" w:rsidR="00BB12BB" w:rsidRPr="000B3117" w:rsidRDefault="00315305" w:rsidP="00BB12BB">
      <w:pPr>
        <w:rPr>
          <w:rFonts w:ascii="Arial" w:eastAsia="Arial" w:hAnsi="Arial" w:cs="Arial"/>
          <w:sz w:val="18"/>
          <w:szCs w:val="18"/>
        </w:rPr>
      </w:pPr>
      <w:r w:rsidRPr="000B3117">
        <w:rPr>
          <w:rFonts w:ascii="Arial" w:eastAsia="Arial" w:hAnsi="Arial" w:cs="Arial"/>
          <w:b/>
          <w:sz w:val="18"/>
          <w:szCs w:val="18"/>
        </w:rPr>
        <w:t>Mixing:</w:t>
      </w:r>
      <w:r w:rsidR="00BB12BB" w:rsidRPr="000B3117">
        <w:rPr>
          <w:rFonts w:ascii="Arial" w:eastAsia="Arial" w:hAnsi="Arial" w:cs="Arial"/>
          <w:sz w:val="18"/>
          <w:szCs w:val="18"/>
        </w:rPr>
        <w:t xml:space="preserve"> Maintain constant agitation throughout mixing and application. Add Solar Guard last to the spray tank, water first. </w:t>
      </w:r>
    </w:p>
    <w:p w14:paraId="5AC357C0" w14:textId="094C0221" w:rsidR="00BB12BB" w:rsidRPr="000B3117" w:rsidRDefault="00315305" w:rsidP="00BB12BB">
      <w:pPr>
        <w:rPr>
          <w:rFonts w:ascii="Arial" w:eastAsia="Arial" w:hAnsi="Arial" w:cs="Arial"/>
          <w:sz w:val="18"/>
          <w:szCs w:val="18"/>
        </w:rPr>
      </w:pPr>
      <w:r w:rsidRPr="000B3117">
        <w:rPr>
          <w:rFonts w:ascii="Arial" w:eastAsia="Arial" w:hAnsi="Arial" w:cs="Arial"/>
          <w:b/>
          <w:sz w:val="18"/>
          <w:szCs w:val="18"/>
        </w:rPr>
        <w:t>Application instructions:</w:t>
      </w:r>
      <w:r w:rsidR="00BB12BB" w:rsidRPr="000B3117">
        <w:rPr>
          <w:rFonts w:ascii="Arial" w:eastAsia="Arial" w:hAnsi="Arial" w:cs="Arial"/>
          <w:sz w:val="18"/>
          <w:szCs w:val="18"/>
        </w:rPr>
        <w:t xml:space="preserve"> The rate recommendations are based on percent dilution. For example, most crops will use a 3%-4% solution. Apply uniformly over an acre of ground on a broadcast basis. To provide maximum protection, an application should be made prior to high-stress conditions and once every 21-30 days or as instructed below. Do not apply to crops if the presence of a </w:t>
      </w:r>
      <w:bookmarkStart w:id="0" w:name="_Hlk194657204"/>
      <w:r w:rsidR="00BB12BB" w:rsidRPr="000B3117">
        <w:rPr>
          <w:rFonts w:ascii="Arial" w:eastAsia="Arial" w:hAnsi="Arial" w:cs="Arial"/>
          <w:sz w:val="18"/>
          <w:szCs w:val="18"/>
        </w:rPr>
        <w:t xml:space="preserve">calcite mineral visual residue </w:t>
      </w:r>
      <w:bookmarkEnd w:id="0"/>
      <w:r w:rsidR="00BB12BB" w:rsidRPr="000B3117">
        <w:rPr>
          <w:rFonts w:ascii="Arial" w:eastAsia="Arial" w:hAnsi="Arial" w:cs="Arial"/>
          <w:sz w:val="18"/>
          <w:szCs w:val="18"/>
        </w:rPr>
        <w:t xml:space="preserve">is problematic for marketability. Follow the post-harvest removal instructions below. Do not apply to Christmas trees in the year of harvest. </w:t>
      </w:r>
    </w:p>
    <w:p w14:paraId="521C1A07" w14:textId="77777777" w:rsidR="00315305" w:rsidRPr="000B3117" w:rsidRDefault="00BB12BB" w:rsidP="00BB12BB">
      <w:pPr>
        <w:spacing w:after="0"/>
        <w:rPr>
          <w:rFonts w:ascii="Arial" w:eastAsia="Arial" w:hAnsi="Arial" w:cs="Arial"/>
          <w:sz w:val="18"/>
          <w:szCs w:val="18"/>
        </w:rPr>
      </w:pPr>
      <w:r w:rsidRPr="000B3117">
        <w:rPr>
          <w:rFonts w:ascii="Arial" w:eastAsia="Arial" w:hAnsi="Arial" w:cs="Arial"/>
          <w:b/>
          <w:sz w:val="18"/>
          <w:szCs w:val="18"/>
        </w:rPr>
        <w:t xml:space="preserve">Storage and Disposal: </w:t>
      </w:r>
      <w:r w:rsidRPr="000B3117">
        <w:rPr>
          <w:rFonts w:ascii="Arial" w:eastAsia="Arial" w:hAnsi="Arial" w:cs="Arial"/>
          <w:sz w:val="18"/>
          <w:szCs w:val="18"/>
        </w:rPr>
        <w:t>Store the product in the original labeled container in a cool, dry place. Keep the container tightly closed when not in use. Protect from freezing. The product Freezes at 34 °F. Dispose of unused products or empty packaging according to federal, state, and local regulations.</w:t>
      </w:r>
      <w:r w:rsidR="00315305" w:rsidRPr="000B3117">
        <w:rPr>
          <w:rFonts w:ascii="Arial" w:eastAsia="Arial" w:hAnsi="Arial" w:cs="Arial"/>
          <w:sz w:val="18"/>
          <w:szCs w:val="18"/>
        </w:rPr>
        <w:t xml:space="preserve"> </w:t>
      </w:r>
    </w:p>
    <w:p w14:paraId="1BCDE1F1" w14:textId="77777777" w:rsidR="00315305" w:rsidRPr="000B3117" w:rsidRDefault="00315305" w:rsidP="00BB12BB">
      <w:pPr>
        <w:spacing w:after="0"/>
        <w:rPr>
          <w:rFonts w:ascii="Arial" w:eastAsia="Arial" w:hAnsi="Arial" w:cs="Arial"/>
          <w:sz w:val="18"/>
          <w:szCs w:val="18"/>
        </w:rPr>
      </w:pPr>
    </w:p>
    <w:p w14:paraId="64199A77" w14:textId="1B1F535D" w:rsidR="00BB12BB" w:rsidRPr="00315305" w:rsidRDefault="00BB12BB" w:rsidP="00BB12BB">
      <w:pPr>
        <w:spacing w:after="0"/>
        <w:rPr>
          <w:rFonts w:ascii="Arial" w:eastAsia="Arial" w:hAnsi="Arial" w:cs="Arial"/>
          <w:sz w:val="14"/>
          <w:szCs w:val="14"/>
        </w:rPr>
      </w:pPr>
      <w:r w:rsidRPr="000B3117">
        <w:rPr>
          <w:rFonts w:ascii="Arial" w:eastAsia="Arial" w:hAnsi="Arial" w:cs="Arial"/>
          <w:sz w:val="18"/>
          <w:szCs w:val="18"/>
        </w:rPr>
        <w:t>For chemical spills or exposure, call</w:t>
      </w:r>
      <w:r w:rsidRPr="00214EC4">
        <w:rPr>
          <w:rFonts w:ascii="Arial" w:eastAsia="Arial" w:hAnsi="Arial" w:cs="Arial"/>
          <w:sz w:val="20"/>
          <w:szCs w:val="20"/>
        </w:rPr>
        <w:t xml:space="preserve"> </w:t>
      </w:r>
      <w:r w:rsidRPr="000B3117">
        <w:rPr>
          <w:rFonts w:ascii="Arial" w:eastAsia="Arial" w:hAnsi="Arial" w:cs="Arial"/>
          <w:b/>
          <w:sz w:val="18"/>
          <w:szCs w:val="18"/>
        </w:rPr>
        <w:t>CHEMTREC USA: 800-424-9300</w:t>
      </w:r>
    </w:p>
    <w:p w14:paraId="302C41EE" w14:textId="77777777" w:rsidR="00BB12BB" w:rsidRDefault="00BB12BB" w:rsidP="00BB12BB">
      <w:pPr>
        <w:spacing w:after="0"/>
        <w:rPr>
          <w:rFonts w:ascii="Arial" w:eastAsia="Arial" w:hAnsi="Arial" w:cs="Arial"/>
        </w:rPr>
      </w:pPr>
    </w:p>
    <w:p w14:paraId="22229C7F" w14:textId="561CF02F" w:rsidR="003E00ED" w:rsidRPr="00BB12BB" w:rsidRDefault="003D1C64" w:rsidP="00BB12BB">
      <w:pPr>
        <w:spacing w:after="0"/>
        <w:rPr>
          <w:rFonts w:ascii="Arial" w:eastAsia="Arial" w:hAnsi="Arial" w:cs="Arial"/>
          <w:lang w:val="fr-FR"/>
        </w:rPr>
      </w:pPr>
      <w:r w:rsidRPr="00BB12BB">
        <w:rPr>
          <w:rFonts w:ascii="Arial" w:eastAsia="Arial" w:hAnsi="Arial" w:cs="Arial"/>
          <w:b/>
          <w:sz w:val="22"/>
          <w:szCs w:val="22"/>
          <w:lang w:val="fr-FR"/>
        </w:rPr>
        <w:t>Net Contents :</w:t>
      </w:r>
      <w:r w:rsidR="00BB12BB">
        <w:rPr>
          <w:rFonts w:ascii="Arial" w:eastAsia="Arial" w:hAnsi="Arial" w:cs="Arial"/>
          <w:b/>
          <w:sz w:val="22"/>
          <w:szCs w:val="22"/>
          <w:lang w:val="fr-FR"/>
        </w:rPr>
        <w:tab/>
      </w:r>
      <w:r w:rsidRPr="00BB12BB">
        <w:rPr>
          <w:rFonts w:ascii="Arial" w:eastAsia="Arial" w:hAnsi="Arial" w:cs="Arial"/>
          <w:b/>
          <w:color w:val="000000"/>
          <w:sz w:val="22"/>
          <w:szCs w:val="22"/>
          <w:lang w:val="fr-FR"/>
        </w:rPr>
        <w:t>4 Gallons (15.14 L)</w:t>
      </w:r>
      <w:r w:rsidR="00BB12BB">
        <w:rPr>
          <w:rFonts w:ascii="Arial" w:eastAsia="Arial" w:hAnsi="Arial" w:cs="Arial"/>
          <w:b/>
          <w:color w:val="000000"/>
          <w:sz w:val="22"/>
          <w:szCs w:val="22"/>
          <w:lang w:val="fr-FR"/>
        </w:rPr>
        <w:tab/>
      </w:r>
      <w:r w:rsidR="00BB12BB">
        <w:rPr>
          <w:rFonts w:ascii="Arial" w:eastAsia="Arial" w:hAnsi="Arial" w:cs="Arial"/>
          <w:b/>
          <w:color w:val="000000"/>
          <w:sz w:val="22"/>
          <w:szCs w:val="22"/>
          <w:lang w:val="fr-FR"/>
        </w:rPr>
        <w:tab/>
      </w:r>
      <w:r w:rsidRPr="00BB12BB">
        <w:rPr>
          <w:rFonts w:ascii="Arial" w:eastAsia="Arial" w:hAnsi="Arial" w:cs="Arial"/>
          <w:b/>
          <w:color w:val="000000"/>
          <w:sz w:val="22"/>
          <w:szCs w:val="22"/>
          <w:lang w:val="fr-FR"/>
        </w:rPr>
        <w:t>110 Gallons (416.39 L)</w:t>
      </w:r>
      <w:r w:rsidR="00BB12BB">
        <w:rPr>
          <w:rFonts w:ascii="Arial" w:eastAsia="Arial" w:hAnsi="Arial" w:cs="Arial"/>
          <w:b/>
          <w:sz w:val="22"/>
          <w:szCs w:val="22"/>
          <w:lang w:val="fr-FR"/>
        </w:rPr>
        <w:tab/>
      </w:r>
      <w:r w:rsidRPr="00BB12BB">
        <w:rPr>
          <w:rFonts w:ascii="Arial" w:eastAsia="Arial" w:hAnsi="Arial" w:cs="Arial"/>
          <w:b/>
          <w:color w:val="000000"/>
          <w:sz w:val="22"/>
          <w:szCs w:val="22"/>
          <w:lang w:val="fr-FR"/>
        </w:rPr>
        <w:t>220 Gallons (832.78 L</w:t>
      </w:r>
      <w:r w:rsidR="00BB12BB">
        <w:rPr>
          <w:rFonts w:ascii="Arial" w:eastAsia="Arial" w:hAnsi="Arial" w:cs="Arial"/>
          <w:b/>
          <w:color w:val="000000"/>
          <w:sz w:val="22"/>
          <w:szCs w:val="22"/>
          <w:lang w:val="fr-FR"/>
        </w:rPr>
        <w:t>)</w:t>
      </w:r>
      <w:r w:rsidR="00BB12BB">
        <w:rPr>
          <w:rFonts w:ascii="Arial" w:eastAsia="Arial" w:hAnsi="Arial" w:cs="Arial"/>
          <w:b/>
          <w:color w:val="000000"/>
          <w:sz w:val="22"/>
          <w:szCs w:val="22"/>
          <w:lang w:val="fr-FR"/>
        </w:rPr>
        <w:tab/>
      </w:r>
      <w:r w:rsidRPr="00BB12BB">
        <w:rPr>
          <w:rFonts w:ascii="Arial" w:eastAsia="Arial" w:hAnsi="Arial" w:cs="Arial"/>
          <w:b/>
          <w:color w:val="000000"/>
          <w:sz w:val="22"/>
          <w:szCs w:val="22"/>
          <w:lang w:val="fr-FR"/>
        </w:rPr>
        <w:t>250 Gallons (946.35 L)</w:t>
      </w:r>
    </w:p>
    <w:p w14:paraId="6E26D144" w14:textId="0EFAC67A" w:rsidR="003E00ED" w:rsidRPr="00BB12BB" w:rsidRDefault="003D1C64">
      <w:pPr>
        <w:spacing w:after="0"/>
        <w:jc w:val="both"/>
        <w:rPr>
          <w:rFonts w:ascii="Arial" w:eastAsia="Arial" w:hAnsi="Arial" w:cs="Arial"/>
          <w:sz w:val="18"/>
          <w:szCs w:val="18"/>
        </w:rPr>
      </w:pPr>
      <w:r w:rsidRPr="00BB12BB">
        <w:rPr>
          <w:rFonts w:ascii="Arial" w:eastAsia="Arial" w:hAnsi="Arial" w:cs="Arial"/>
          <w:b/>
          <w:sz w:val="22"/>
          <w:szCs w:val="22"/>
        </w:rPr>
        <w:t xml:space="preserve">Weight per Gallon: </w:t>
      </w:r>
      <w:r w:rsidRPr="000B3117">
        <w:rPr>
          <w:rFonts w:ascii="Arial" w:eastAsia="Arial" w:hAnsi="Arial" w:cs="Arial"/>
          <w:sz w:val="18"/>
          <w:szCs w:val="18"/>
        </w:rPr>
        <w:t>13.5 pounds at 68 °F</w:t>
      </w:r>
      <w:r w:rsidRPr="00BB12BB">
        <w:rPr>
          <w:rFonts w:ascii="Arial" w:eastAsia="Arial" w:hAnsi="Arial" w:cs="Arial"/>
          <w:b/>
          <w:sz w:val="22"/>
          <w:szCs w:val="22"/>
        </w:rPr>
        <w:tab/>
      </w:r>
      <w:r w:rsidRPr="00BB12BB">
        <w:rPr>
          <w:rFonts w:ascii="Arial" w:eastAsia="Arial" w:hAnsi="Arial" w:cs="Arial"/>
          <w:b/>
          <w:sz w:val="22"/>
          <w:szCs w:val="22"/>
        </w:rPr>
        <w:tab/>
      </w:r>
      <w:r w:rsidRPr="00BB12BB">
        <w:rPr>
          <w:rFonts w:ascii="Arial" w:eastAsia="Arial" w:hAnsi="Arial" w:cs="Arial"/>
          <w:b/>
          <w:sz w:val="22"/>
          <w:szCs w:val="22"/>
        </w:rPr>
        <w:tab/>
      </w:r>
      <w:r w:rsidRPr="00BB12BB">
        <w:rPr>
          <w:rFonts w:ascii="Arial" w:eastAsia="Arial" w:hAnsi="Arial" w:cs="Arial"/>
          <w:b/>
          <w:sz w:val="22"/>
          <w:szCs w:val="22"/>
        </w:rPr>
        <w:tab/>
        <w:t>Manufactured by:</w:t>
      </w:r>
      <w:r w:rsidRPr="00BB12BB">
        <w:rPr>
          <w:rFonts w:ascii="Arial" w:eastAsia="Arial" w:hAnsi="Arial" w:cs="Arial"/>
          <w:sz w:val="16"/>
          <w:szCs w:val="16"/>
        </w:rPr>
        <w:t xml:space="preserve"> </w:t>
      </w:r>
      <w:r w:rsidRPr="00BB12BB">
        <w:rPr>
          <w:rFonts w:ascii="Arial" w:eastAsia="Arial" w:hAnsi="Arial" w:cs="Arial"/>
          <w:sz w:val="18"/>
          <w:szCs w:val="18"/>
        </w:rPr>
        <w:t>Willamette Ag Inc. 26135 Peoria Rd. Halsey, OR 97384</w:t>
      </w:r>
      <w:r>
        <w:rPr>
          <w:rFonts w:ascii="Arial" w:eastAsia="Arial" w:hAnsi="Arial" w:cs="Arial"/>
          <w:sz w:val="18"/>
          <w:szCs w:val="18"/>
        </w:rPr>
        <w:t xml:space="preserve"> Ph: 541-</w:t>
      </w:r>
      <w:r w:rsidR="00015D51">
        <w:rPr>
          <w:rFonts w:ascii="Arial" w:eastAsia="Arial" w:hAnsi="Arial" w:cs="Arial"/>
          <w:sz w:val="18"/>
          <w:szCs w:val="18"/>
        </w:rPr>
        <w:t>995</w:t>
      </w:r>
      <w:r>
        <w:rPr>
          <w:rFonts w:ascii="Arial" w:eastAsia="Arial" w:hAnsi="Arial" w:cs="Arial"/>
          <w:sz w:val="18"/>
          <w:szCs w:val="18"/>
        </w:rPr>
        <w:t>-0</w:t>
      </w:r>
      <w:r w:rsidR="00015D51">
        <w:rPr>
          <w:rFonts w:ascii="Arial" w:eastAsia="Arial" w:hAnsi="Arial" w:cs="Arial"/>
          <w:sz w:val="18"/>
          <w:szCs w:val="18"/>
        </w:rPr>
        <w:t>1</w:t>
      </w:r>
      <w:r>
        <w:rPr>
          <w:rFonts w:ascii="Arial" w:eastAsia="Arial" w:hAnsi="Arial" w:cs="Arial"/>
          <w:sz w:val="18"/>
          <w:szCs w:val="18"/>
        </w:rPr>
        <w:t>00</w:t>
      </w:r>
    </w:p>
    <w:p w14:paraId="3343AED3" w14:textId="77777777" w:rsidR="004D57A5" w:rsidRDefault="004D57A5">
      <w:pPr>
        <w:rPr>
          <w:rFonts w:ascii="Arial" w:eastAsia="Arial" w:hAnsi="Arial" w:cs="Arial"/>
          <w:b/>
          <w:sz w:val="18"/>
          <w:szCs w:val="18"/>
        </w:rPr>
        <w:sectPr w:rsidR="004D57A5">
          <w:pgSz w:w="15840" w:h="12240" w:orient="landscape"/>
          <w:pgMar w:top="720" w:right="720" w:bottom="720" w:left="720" w:header="720" w:footer="720" w:gutter="0"/>
          <w:pgNumType w:start="1"/>
          <w:cols w:space="720"/>
        </w:sectPr>
      </w:pPr>
    </w:p>
    <w:p w14:paraId="066D8D3E" w14:textId="713712F2" w:rsidR="003E00ED" w:rsidRPr="00507E0A" w:rsidRDefault="00507E0A">
      <w:pPr>
        <w:rPr>
          <w:rFonts w:ascii="Arial" w:eastAsia="Arial" w:hAnsi="Arial" w:cs="Arial"/>
          <w:b/>
          <w:sz w:val="18"/>
          <w:szCs w:val="18"/>
        </w:rPr>
      </w:pPr>
      <w:r>
        <w:rPr>
          <w:rFonts w:ascii="Arial" w:eastAsia="Arial" w:hAnsi="Arial" w:cs="Arial"/>
          <w:b/>
          <w:sz w:val="18"/>
          <w:szCs w:val="18"/>
        </w:rPr>
        <w:lastRenderedPageBreak/>
        <w:t>W</w:t>
      </w:r>
      <w:r w:rsidR="00640326" w:rsidRPr="00507E0A">
        <w:rPr>
          <w:rFonts w:ascii="Arial" w:eastAsia="Arial" w:hAnsi="Arial" w:cs="Arial"/>
          <w:b/>
          <w:sz w:val="18"/>
          <w:szCs w:val="18"/>
        </w:rPr>
        <w:t>ater use efficiency (</w:t>
      </w:r>
      <w:r w:rsidRPr="00507E0A">
        <w:rPr>
          <w:rFonts w:ascii="Arial" w:eastAsia="Arial" w:hAnsi="Arial" w:cs="Arial"/>
          <w:b/>
          <w:sz w:val="18"/>
          <w:szCs w:val="18"/>
        </w:rPr>
        <w:t>WUE</w:t>
      </w:r>
      <w:r w:rsidR="00640326" w:rsidRPr="00507E0A">
        <w:rPr>
          <w:rFonts w:ascii="Arial" w:eastAsia="Arial" w:hAnsi="Arial" w:cs="Arial"/>
          <w:b/>
          <w:sz w:val="18"/>
          <w:szCs w:val="18"/>
        </w:rPr>
        <w:t xml:space="preserve">) and enhancing carbon capture: </w:t>
      </w:r>
      <w:r w:rsidR="00640326" w:rsidRPr="00507E0A">
        <w:rPr>
          <w:rFonts w:ascii="Arial" w:eastAsia="Arial" w:hAnsi="Arial" w:cs="Arial"/>
          <w:sz w:val="18"/>
          <w:szCs w:val="18"/>
        </w:rPr>
        <w:t xml:space="preserve">use on irrigated, non-irrigated, or water-restricted crops. </w:t>
      </w:r>
      <w:r w:rsidR="00704FA1">
        <w:rPr>
          <w:rFonts w:ascii="Arial" w:eastAsia="Arial" w:hAnsi="Arial" w:cs="Arial"/>
          <w:sz w:val="18"/>
          <w:szCs w:val="18"/>
        </w:rPr>
        <w:t>A</w:t>
      </w:r>
      <w:r w:rsidR="00640326" w:rsidRPr="00507E0A">
        <w:rPr>
          <w:rFonts w:ascii="Arial" w:eastAsia="Arial" w:hAnsi="Arial" w:cs="Arial"/>
          <w:sz w:val="18"/>
          <w:szCs w:val="18"/>
        </w:rPr>
        <w:t xml:space="preserve">pply 3 to 7 days prior to a heat event to mitigate water loss and excessive transpiration and use a 3-4% solution. </w:t>
      </w:r>
      <w:r w:rsidR="00704FA1">
        <w:rPr>
          <w:rFonts w:ascii="Arial" w:eastAsia="Arial" w:hAnsi="Arial" w:cs="Arial"/>
          <w:sz w:val="18"/>
          <w:szCs w:val="18"/>
        </w:rPr>
        <w:t>F</w:t>
      </w:r>
      <w:r w:rsidR="00640326" w:rsidRPr="00507E0A">
        <w:rPr>
          <w:rFonts w:ascii="Arial" w:eastAsia="Arial" w:hAnsi="Arial" w:cs="Arial"/>
          <w:sz w:val="18"/>
          <w:szCs w:val="18"/>
        </w:rPr>
        <w:t xml:space="preserve">or best results, apply at times when plants use the most water, such as flowering and pod development. </w:t>
      </w:r>
      <w:r w:rsidR="00704FA1">
        <w:rPr>
          <w:rFonts w:ascii="Arial" w:eastAsia="Arial" w:hAnsi="Arial" w:cs="Arial"/>
          <w:sz w:val="18"/>
          <w:szCs w:val="18"/>
        </w:rPr>
        <w:t>C</w:t>
      </w:r>
      <w:r w:rsidR="00640326" w:rsidRPr="00507E0A">
        <w:rPr>
          <w:rFonts w:ascii="Arial" w:eastAsia="Arial" w:hAnsi="Arial" w:cs="Arial"/>
          <w:sz w:val="18"/>
          <w:szCs w:val="18"/>
        </w:rPr>
        <w:t xml:space="preserve">onsult your state or local agricultural extension agent for detailed information on appropriate timing. </w:t>
      </w:r>
    </w:p>
    <w:p w14:paraId="33D03AE6" w14:textId="2B717ACF" w:rsidR="003E00ED" w:rsidRPr="00507E0A" w:rsidRDefault="00507E0A">
      <w:pPr>
        <w:rPr>
          <w:rFonts w:ascii="Arial" w:eastAsia="Arial" w:hAnsi="Arial" w:cs="Arial"/>
          <w:b/>
          <w:sz w:val="18"/>
          <w:szCs w:val="18"/>
        </w:rPr>
      </w:pPr>
      <w:r w:rsidRPr="00507E0A">
        <w:rPr>
          <w:rFonts w:ascii="Arial" w:eastAsia="Arial" w:hAnsi="Arial" w:cs="Arial"/>
          <w:b/>
          <w:sz w:val="18"/>
          <w:szCs w:val="18"/>
        </w:rPr>
        <w:t xml:space="preserve">Citrus: </w:t>
      </w:r>
      <w:r w:rsidR="00704FA1">
        <w:rPr>
          <w:rFonts w:ascii="Arial" w:eastAsia="Arial" w:hAnsi="Arial" w:cs="Arial"/>
          <w:sz w:val="18"/>
          <w:szCs w:val="18"/>
        </w:rPr>
        <w:t>T</w:t>
      </w:r>
      <w:r w:rsidR="00640326" w:rsidRPr="00507E0A">
        <w:rPr>
          <w:rFonts w:ascii="Arial" w:eastAsia="Arial" w:hAnsi="Arial" w:cs="Arial"/>
          <w:sz w:val="18"/>
          <w:szCs w:val="18"/>
        </w:rPr>
        <w:t xml:space="preserve">emperature and water stress affect flowering. </w:t>
      </w:r>
      <w:r w:rsidR="00704FA1">
        <w:rPr>
          <w:rFonts w:ascii="Arial" w:eastAsia="Arial" w:hAnsi="Arial" w:cs="Arial"/>
          <w:sz w:val="18"/>
          <w:szCs w:val="18"/>
        </w:rPr>
        <w:t>A</w:t>
      </w:r>
      <w:r w:rsidR="00640326" w:rsidRPr="00507E0A">
        <w:rPr>
          <w:rFonts w:ascii="Arial" w:eastAsia="Arial" w:hAnsi="Arial" w:cs="Arial"/>
          <w:sz w:val="18"/>
          <w:szCs w:val="18"/>
        </w:rPr>
        <w:t xml:space="preserve">pply a 2 to 4% solution prior to or at flowering. </w:t>
      </w:r>
      <w:r w:rsidR="00704FA1">
        <w:rPr>
          <w:rFonts w:ascii="Arial" w:eastAsia="Arial" w:hAnsi="Arial" w:cs="Arial"/>
          <w:sz w:val="18"/>
          <w:szCs w:val="18"/>
        </w:rPr>
        <w:t>A</w:t>
      </w:r>
      <w:r w:rsidR="00640326" w:rsidRPr="00507E0A">
        <w:rPr>
          <w:rFonts w:ascii="Arial" w:eastAsia="Arial" w:hAnsi="Arial" w:cs="Arial"/>
          <w:sz w:val="18"/>
          <w:szCs w:val="18"/>
        </w:rPr>
        <w:t>pply a second and third application during early to mid-stage and</w:t>
      </w:r>
      <w:r w:rsidR="00704FA1">
        <w:rPr>
          <w:rFonts w:ascii="Arial" w:eastAsia="Arial" w:hAnsi="Arial" w:cs="Arial"/>
          <w:sz w:val="18"/>
          <w:szCs w:val="18"/>
        </w:rPr>
        <w:t>/</w:t>
      </w:r>
      <w:r w:rsidR="00640326" w:rsidRPr="00507E0A">
        <w:rPr>
          <w:rFonts w:ascii="Arial" w:eastAsia="Arial" w:hAnsi="Arial" w:cs="Arial"/>
          <w:sz w:val="18"/>
          <w:szCs w:val="18"/>
        </w:rPr>
        <w:t>or apply other applications 5 to 7 days prior to heat or stress events.</w:t>
      </w:r>
    </w:p>
    <w:p w14:paraId="567045F2" w14:textId="4D3D7588" w:rsidR="003E00ED" w:rsidRPr="00507E0A" w:rsidRDefault="00507E0A">
      <w:pPr>
        <w:rPr>
          <w:rFonts w:ascii="Arial" w:eastAsia="Arial" w:hAnsi="Arial" w:cs="Arial"/>
          <w:b/>
          <w:sz w:val="18"/>
          <w:szCs w:val="18"/>
        </w:rPr>
      </w:pPr>
      <w:r w:rsidRPr="00507E0A">
        <w:rPr>
          <w:rFonts w:ascii="Arial" w:eastAsia="Arial" w:hAnsi="Arial" w:cs="Arial"/>
          <w:b/>
          <w:sz w:val="18"/>
          <w:szCs w:val="18"/>
        </w:rPr>
        <w:t xml:space="preserve">Pome fruit: </w:t>
      </w:r>
      <w:r w:rsidR="00704FA1">
        <w:rPr>
          <w:rFonts w:ascii="Arial" w:eastAsia="Arial" w:hAnsi="Arial" w:cs="Arial"/>
          <w:sz w:val="18"/>
          <w:szCs w:val="18"/>
        </w:rPr>
        <w:t>A</w:t>
      </w:r>
      <w:r w:rsidR="00640326" w:rsidRPr="00507E0A">
        <w:rPr>
          <w:rFonts w:ascii="Arial" w:eastAsia="Arial" w:hAnsi="Arial" w:cs="Arial"/>
          <w:sz w:val="18"/>
          <w:szCs w:val="18"/>
        </w:rPr>
        <w:t xml:space="preserve">pply a 2 to 4% solution. </w:t>
      </w:r>
      <w:r w:rsidR="00704FA1">
        <w:rPr>
          <w:rFonts w:ascii="Arial" w:eastAsia="Arial" w:hAnsi="Arial" w:cs="Arial"/>
          <w:sz w:val="18"/>
          <w:szCs w:val="18"/>
        </w:rPr>
        <w:t>A</w:t>
      </w:r>
      <w:r w:rsidR="00640326" w:rsidRPr="00507E0A">
        <w:rPr>
          <w:rFonts w:ascii="Arial" w:eastAsia="Arial" w:hAnsi="Arial" w:cs="Arial"/>
          <w:sz w:val="18"/>
          <w:szCs w:val="18"/>
        </w:rPr>
        <w:t xml:space="preserve">pply first application after petal fall and before fruit size is ½ to ¾ inch in size but after bloom thinning. </w:t>
      </w:r>
      <w:r w:rsidR="00704FA1">
        <w:rPr>
          <w:rFonts w:ascii="Arial" w:eastAsia="Arial" w:hAnsi="Arial" w:cs="Arial"/>
          <w:sz w:val="18"/>
          <w:szCs w:val="18"/>
        </w:rPr>
        <w:t>A</w:t>
      </w:r>
      <w:r w:rsidR="00640326" w:rsidRPr="00507E0A">
        <w:rPr>
          <w:rFonts w:ascii="Arial" w:eastAsia="Arial" w:hAnsi="Arial" w:cs="Arial"/>
          <w:sz w:val="18"/>
          <w:szCs w:val="18"/>
        </w:rPr>
        <w:t xml:space="preserve">pply the second application 24 to 30 days later at the beginning and during mid-summer, then every 21 to 24 days until coloration. for non-washed pome fruits, reduce the rates to ½ % solution after the first midsummer spray. </w:t>
      </w:r>
      <w:r w:rsidR="00704FA1">
        <w:rPr>
          <w:rFonts w:ascii="Arial" w:eastAsia="Arial" w:hAnsi="Arial" w:cs="Arial"/>
          <w:sz w:val="18"/>
          <w:szCs w:val="18"/>
        </w:rPr>
        <w:t>S</w:t>
      </w:r>
      <w:r w:rsidR="00640326" w:rsidRPr="00507E0A">
        <w:rPr>
          <w:rFonts w:ascii="Arial" w:eastAsia="Arial" w:hAnsi="Arial" w:cs="Arial"/>
          <w:sz w:val="18"/>
          <w:szCs w:val="18"/>
        </w:rPr>
        <w:t>ubsequent applications should not be used if discoloration could become problematic.</w:t>
      </w:r>
    </w:p>
    <w:p w14:paraId="2C383E31" w14:textId="1BA16B82" w:rsidR="003E00ED" w:rsidRPr="00507E0A" w:rsidRDefault="00507E0A">
      <w:pPr>
        <w:rPr>
          <w:rFonts w:ascii="Arial" w:eastAsia="Arial" w:hAnsi="Arial" w:cs="Arial"/>
          <w:sz w:val="18"/>
          <w:szCs w:val="18"/>
        </w:rPr>
      </w:pPr>
      <w:r w:rsidRPr="00507E0A">
        <w:rPr>
          <w:rFonts w:ascii="Arial" w:eastAsia="Arial" w:hAnsi="Arial" w:cs="Arial"/>
          <w:b/>
          <w:sz w:val="18"/>
          <w:szCs w:val="18"/>
        </w:rPr>
        <w:t>Chickpea, soybean, pea, bean</w:t>
      </w:r>
      <w:r w:rsidR="00640326" w:rsidRPr="00507E0A">
        <w:rPr>
          <w:rFonts w:ascii="Arial" w:eastAsia="Arial" w:hAnsi="Arial" w:cs="Arial"/>
          <w:b/>
          <w:sz w:val="18"/>
          <w:szCs w:val="18"/>
        </w:rPr>
        <w:t>:</w:t>
      </w:r>
      <w:r w:rsidR="00640326" w:rsidRPr="00507E0A">
        <w:rPr>
          <w:rFonts w:ascii="Arial" w:eastAsia="Arial" w:hAnsi="Arial" w:cs="Arial"/>
          <w:sz w:val="18"/>
          <w:szCs w:val="18"/>
        </w:rPr>
        <w:t xml:space="preserve"> </w:t>
      </w:r>
      <w:r w:rsidR="00704FA1">
        <w:rPr>
          <w:rFonts w:ascii="Arial" w:eastAsia="Arial" w:hAnsi="Arial" w:cs="Arial"/>
          <w:sz w:val="18"/>
          <w:szCs w:val="18"/>
        </w:rPr>
        <w:t>A</w:t>
      </w:r>
      <w:r w:rsidR="00640326" w:rsidRPr="00507E0A">
        <w:rPr>
          <w:rFonts w:ascii="Arial" w:eastAsia="Arial" w:hAnsi="Arial" w:cs="Arial"/>
          <w:sz w:val="18"/>
          <w:szCs w:val="18"/>
        </w:rPr>
        <w:t xml:space="preserve">pply when plants begin to flower after nodes develop. </w:t>
      </w:r>
      <w:r w:rsidR="00704FA1">
        <w:rPr>
          <w:rFonts w:ascii="Arial" w:eastAsia="Arial" w:hAnsi="Arial" w:cs="Arial"/>
          <w:sz w:val="18"/>
          <w:szCs w:val="18"/>
        </w:rPr>
        <w:t>A</w:t>
      </w:r>
      <w:r w:rsidR="00640326" w:rsidRPr="00507E0A">
        <w:rPr>
          <w:rFonts w:ascii="Arial" w:eastAsia="Arial" w:hAnsi="Arial" w:cs="Arial"/>
          <w:sz w:val="18"/>
          <w:szCs w:val="18"/>
        </w:rPr>
        <w:t xml:space="preserve">pply the second application 14 to 21 days after or when pod cavities start to fill. </w:t>
      </w:r>
      <w:r w:rsidR="00704FA1">
        <w:rPr>
          <w:rFonts w:ascii="Arial" w:eastAsia="Arial" w:hAnsi="Arial" w:cs="Arial"/>
          <w:sz w:val="18"/>
          <w:szCs w:val="18"/>
        </w:rPr>
        <w:t>I</w:t>
      </w:r>
      <w:r w:rsidR="00640326" w:rsidRPr="00507E0A">
        <w:rPr>
          <w:rFonts w:ascii="Arial" w:eastAsia="Arial" w:hAnsi="Arial" w:cs="Arial"/>
          <w:sz w:val="18"/>
          <w:szCs w:val="18"/>
        </w:rPr>
        <w:t>n the case of soybeans</w:t>
      </w:r>
      <w:r w:rsidR="00704FA1">
        <w:rPr>
          <w:rFonts w:ascii="Arial" w:eastAsia="Arial" w:hAnsi="Arial" w:cs="Arial"/>
          <w:sz w:val="18"/>
          <w:szCs w:val="18"/>
        </w:rPr>
        <w:t>,</w:t>
      </w:r>
      <w:r w:rsidR="00640326" w:rsidRPr="00507E0A">
        <w:rPr>
          <w:rFonts w:ascii="Arial" w:eastAsia="Arial" w:hAnsi="Arial" w:cs="Arial"/>
          <w:sz w:val="18"/>
          <w:szCs w:val="18"/>
        </w:rPr>
        <w:t xml:space="preserve"> foliar application should occur at the beginning of </w:t>
      </w:r>
      <w:r w:rsidR="00704FA1">
        <w:rPr>
          <w:rFonts w:ascii="Arial" w:eastAsia="Arial" w:hAnsi="Arial" w:cs="Arial"/>
          <w:sz w:val="18"/>
          <w:szCs w:val="18"/>
        </w:rPr>
        <w:t>R</w:t>
      </w:r>
      <w:r w:rsidR="00640326" w:rsidRPr="00507E0A">
        <w:rPr>
          <w:rFonts w:ascii="Arial" w:eastAsia="Arial" w:hAnsi="Arial" w:cs="Arial"/>
          <w:sz w:val="18"/>
          <w:szCs w:val="18"/>
        </w:rPr>
        <w:t>1 (beginning bloom</w:t>
      </w:r>
      <w:proofErr w:type="gramStart"/>
      <w:r w:rsidR="00640326" w:rsidRPr="00507E0A">
        <w:rPr>
          <w:rFonts w:ascii="Arial" w:eastAsia="Arial" w:hAnsi="Arial" w:cs="Arial"/>
          <w:sz w:val="18"/>
          <w:szCs w:val="18"/>
        </w:rPr>
        <w:t>)</w:t>
      </w:r>
      <w:proofErr w:type="gramEnd"/>
      <w:r w:rsidR="00640326" w:rsidRPr="00507E0A">
        <w:rPr>
          <w:rFonts w:ascii="Arial" w:eastAsia="Arial" w:hAnsi="Arial" w:cs="Arial"/>
          <w:sz w:val="18"/>
          <w:szCs w:val="18"/>
        </w:rPr>
        <w:t xml:space="preserve"> and the last application should occur at</w:t>
      </w:r>
      <w:r w:rsidR="00704FA1">
        <w:rPr>
          <w:rFonts w:ascii="Arial" w:eastAsia="Arial" w:hAnsi="Arial" w:cs="Arial"/>
          <w:sz w:val="18"/>
          <w:szCs w:val="18"/>
        </w:rPr>
        <w:t xml:space="preserve"> R</w:t>
      </w:r>
      <w:r w:rsidR="00640326" w:rsidRPr="00507E0A">
        <w:rPr>
          <w:rFonts w:ascii="Arial" w:eastAsia="Arial" w:hAnsi="Arial" w:cs="Arial"/>
          <w:sz w:val="18"/>
          <w:szCs w:val="18"/>
        </w:rPr>
        <w:t xml:space="preserve">5 (beginning seed). </w:t>
      </w:r>
    </w:p>
    <w:p w14:paraId="04B69926" w14:textId="1B3E66A5" w:rsidR="003E00ED" w:rsidRPr="00507E0A" w:rsidRDefault="00507E0A">
      <w:pPr>
        <w:rPr>
          <w:rFonts w:ascii="Arial" w:eastAsia="Arial" w:hAnsi="Arial" w:cs="Arial"/>
          <w:sz w:val="18"/>
          <w:szCs w:val="18"/>
        </w:rPr>
      </w:pPr>
      <w:r w:rsidRPr="00507E0A">
        <w:rPr>
          <w:rFonts w:ascii="Arial" w:eastAsia="Arial" w:hAnsi="Arial" w:cs="Arial"/>
          <w:b/>
          <w:sz w:val="18"/>
          <w:szCs w:val="18"/>
        </w:rPr>
        <w:t>Peanut:</w:t>
      </w:r>
      <w:r w:rsidR="00640326" w:rsidRPr="00507E0A">
        <w:rPr>
          <w:rFonts w:ascii="Arial" w:eastAsia="Arial" w:hAnsi="Arial" w:cs="Arial"/>
          <w:sz w:val="18"/>
          <w:szCs w:val="18"/>
        </w:rPr>
        <w:t xml:space="preserve"> </w:t>
      </w:r>
      <w:r w:rsidR="00704FA1">
        <w:rPr>
          <w:rFonts w:ascii="Arial" w:eastAsia="Arial" w:hAnsi="Arial" w:cs="Arial"/>
          <w:sz w:val="18"/>
          <w:szCs w:val="18"/>
        </w:rPr>
        <w:t>B</w:t>
      </w:r>
      <w:r w:rsidR="00640326" w:rsidRPr="00507E0A">
        <w:rPr>
          <w:rFonts w:ascii="Arial" w:eastAsia="Arial" w:hAnsi="Arial" w:cs="Arial"/>
          <w:sz w:val="18"/>
          <w:szCs w:val="18"/>
        </w:rPr>
        <w:t>egin the first application at 10% bloom, followed by a second application at 100% bloom, and the third application at the beginning peg (</w:t>
      </w:r>
      <w:r w:rsidR="00704FA1">
        <w:rPr>
          <w:rFonts w:ascii="Arial" w:eastAsia="Arial" w:hAnsi="Arial" w:cs="Arial"/>
          <w:sz w:val="18"/>
          <w:szCs w:val="18"/>
        </w:rPr>
        <w:t>R</w:t>
      </w:r>
      <w:r w:rsidR="00640326" w:rsidRPr="00507E0A">
        <w:rPr>
          <w:rFonts w:ascii="Arial" w:eastAsia="Arial" w:hAnsi="Arial" w:cs="Arial"/>
          <w:sz w:val="18"/>
          <w:szCs w:val="18"/>
        </w:rPr>
        <w:t>2) and at the full pod (</w:t>
      </w:r>
      <w:r w:rsidR="00704FA1">
        <w:rPr>
          <w:rFonts w:ascii="Arial" w:eastAsia="Arial" w:hAnsi="Arial" w:cs="Arial"/>
          <w:sz w:val="18"/>
          <w:szCs w:val="18"/>
        </w:rPr>
        <w:t>R</w:t>
      </w:r>
      <w:r w:rsidR="00640326" w:rsidRPr="00507E0A">
        <w:rPr>
          <w:rFonts w:ascii="Arial" w:eastAsia="Arial" w:hAnsi="Arial" w:cs="Arial"/>
          <w:sz w:val="18"/>
          <w:szCs w:val="18"/>
        </w:rPr>
        <w:t xml:space="preserve">4). </w:t>
      </w:r>
    </w:p>
    <w:p w14:paraId="6C1DF4E2" w14:textId="05AFA469" w:rsidR="003E00ED" w:rsidRPr="00507E0A" w:rsidRDefault="00507E0A">
      <w:pPr>
        <w:rPr>
          <w:rFonts w:ascii="Arial" w:eastAsia="Arial" w:hAnsi="Arial" w:cs="Arial"/>
          <w:sz w:val="18"/>
          <w:szCs w:val="18"/>
        </w:rPr>
      </w:pPr>
      <w:r w:rsidRPr="00507E0A">
        <w:rPr>
          <w:rFonts w:ascii="Arial" w:eastAsia="Arial" w:hAnsi="Arial" w:cs="Arial"/>
          <w:b/>
          <w:sz w:val="18"/>
          <w:szCs w:val="18"/>
        </w:rPr>
        <w:t>Leafy vegetables, bulbs (such as onion and garlic):</w:t>
      </w:r>
      <w:r w:rsidR="00640326" w:rsidRPr="00507E0A">
        <w:rPr>
          <w:rFonts w:ascii="Arial" w:eastAsia="Arial" w:hAnsi="Arial" w:cs="Arial"/>
          <w:sz w:val="18"/>
          <w:szCs w:val="18"/>
        </w:rPr>
        <w:t xml:space="preserve"> </w:t>
      </w:r>
      <w:r w:rsidR="00704FA1">
        <w:rPr>
          <w:rFonts w:ascii="Arial" w:eastAsia="Arial" w:hAnsi="Arial" w:cs="Arial"/>
          <w:sz w:val="18"/>
          <w:szCs w:val="18"/>
        </w:rPr>
        <w:t>A</w:t>
      </w:r>
      <w:r w:rsidR="00640326" w:rsidRPr="00507E0A">
        <w:rPr>
          <w:rFonts w:ascii="Arial" w:eastAsia="Arial" w:hAnsi="Arial" w:cs="Arial"/>
          <w:sz w:val="18"/>
          <w:szCs w:val="18"/>
        </w:rPr>
        <w:t xml:space="preserve">pply 15 to 50 gallons per acre at 3 to 4 percent dilution. </w:t>
      </w:r>
      <w:r w:rsidR="00704FA1">
        <w:rPr>
          <w:rFonts w:ascii="Arial" w:eastAsia="Arial" w:hAnsi="Arial" w:cs="Arial"/>
          <w:sz w:val="18"/>
          <w:szCs w:val="18"/>
        </w:rPr>
        <w:t>R</w:t>
      </w:r>
      <w:r w:rsidR="00640326" w:rsidRPr="00507E0A">
        <w:rPr>
          <w:rFonts w:ascii="Arial" w:eastAsia="Arial" w:hAnsi="Arial" w:cs="Arial"/>
          <w:sz w:val="18"/>
          <w:szCs w:val="18"/>
        </w:rPr>
        <w:t xml:space="preserve">efer to postharvest removable for undesirable residue and dilution rates. </w:t>
      </w:r>
      <w:r w:rsidR="00704FA1">
        <w:rPr>
          <w:rFonts w:ascii="Arial" w:eastAsia="Arial" w:hAnsi="Arial" w:cs="Arial"/>
          <w:sz w:val="18"/>
          <w:szCs w:val="18"/>
        </w:rPr>
        <w:t>S</w:t>
      </w:r>
      <w:r w:rsidR="00640326" w:rsidRPr="00507E0A">
        <w:rPr>
          <w:rFonts w:ascii="Arial" w:eastAsia="Arial" w:hAnsi="Arial" w:cs="Arial"/>
          <w:sz w:val="18"/>
          <w:szCs w:val="18"/>
        </w:rPr>
        <w:t xml:space="preserve">pray the exposed bulb to reduce </w:t>
      </w:r>
      <w:r w:rsidR="00214EC4" w:rsidRPr="00507E0A">
        <w:rPr>
          <w:rFonts w:ascii="Arial" w:eastAsia="Arial" w:hAnsi="Arial" w:cs="Arial"/>
          <w:sz w:val="18"/>
          <w:szCs w:val="18"/>
        </w:rPr>
        <w:t>sunscald</w:t>
      </w:r>
      <w:r w:rsidR="00640326" w:rsidRPr="00507E0A">
        <w:rPr>
          <w:rFonts w:ascii="Arial" w:eastAsia="Arial" w:hAnsi="Arial" w:cs="Arial"/>
          <w:sz w:val="18"/>
          <w:szCs w:val="18"/>
        </w:rPr>
        <w:t xml:space="preserve"> after lifting bulbs from beds while in the field. </w:t>
      </w:r>
    </w:p>
    <w:p w14:paraId="54487723" w14:textId="1DCB52A1" w:rsidR="003E00ED" w:rsidRPr="00507E0A" w:rsidRDefault="00507E0A">
      <w:pPr>
        <w:rPr>
          <w:rFonts w:ascii="Arial" w:eastAsia="Arial" w:hAnsi="Arial" w:cs="Arial"/>
          <w:sz w:val="18"/>
          <w:szCs w:val="18"/>
        </w:rPr>
      </w:pPr>
      <w:r w:rsidRPr="00507E0A">
        <w:rPr>
          <w:rFonts w:ascii="Arial" w:eastAsia="Arial" w:hAnsi="Arial" w:cs="Arial"/>
          <w:b/>
          <w:sz w:val="18"/>
          <w:szCs w:val="18"/>
        </w:rPr>
        <w:t>Eggplant, pepper, tomato:</w:t>
      </w:r>
      <w:r w:rsidR="00640326" w:rsidRPr="00507E0A">
        <w:rPr>
          <w:rFonts w:ascii="Arial" w:eastAsia="Arial" w:hAnsi="Arial" w:cs="Arial"/>
          <w:sz w:val="18"/>
          <w:szCs w:val="18"/>
        </w:rPr>
        <w:t xml:space="preserve"> </w:t>
      </w:r>
      <w:r w:rsidR="00704FA1">
        <w:rPr>
          <w:rFonts w:ascii="Arial" w:eastAsia="Arial" w:hAnsi="Arial" w:cs="Arial"/>
          <w:sz w:val="18"/>
          <w:szCs w:val="18"/>
        </w:rPr>
        <w:t>A</w:t>
      </w:r>
      <w:r w:rsidR="00640326" w:rsidRPr="00507E0A">
        <w:rPr>
          <w:rFonts w:ascii="Arial" w:eastAsia="Arial" w:hAnsi="Arial" w:cs="Arial"/>
          <w:sz w:val="18"/>
          <w:szCs w:val="18"/>
        </w:rPr>
        <w:t xml:space="preserve">pply at the end of the vegetative stage and repeat every two weeks until the fruiting stage. </w:t>
      </w:r>
      <w:r w:rsidR="00214EC4" w:rsidRPr="00507E0A">
        <w:rPr>
          <w:rFonts w:ascii="Arial" w:eastAsia="Arial" w:hAnsi="Arial" w:cs="Arial"/>
          <w:sz w:val="18"/>
          <w:szCs w:val="18"/>
        </w:rPr>
        <w:t>If</w:t>
      </w:r>
      <w:r w:rsidR="00640326" w:rsidRPr="00507E0A">
        <w:rPr>
          <w:rFonts w:ascii="Arial" w:eastAsia="Arial" w:hAnsi="Arial" w:cs="Arial"/>
          <w:sz w:val="18"/>
          <w:szCs w:val="18"/>
        </w:rPr>
        <w:t xml:space="preserve"> residue is problematic, reduce the last spray. </w:t>
      </w:r>
      <w:r w:rsidR="00704FA1">
        <w:rPr>
          <w:rFonts w:ascii="Arial" w:eastAsia="Arial" w:hAnsi="Arial" w:cs="Arial"/>
          <w:sz w:val="18"/>
          <w:szCs w:val="18"/>
        </w:rPr>
        <w:t>R</w:t>
      </w:r>
      <w:r w:rsidR="00640326" w:rsidRPr="00507E0A">
        <w:rPr>
          <w:rFonts w:ascii="Arial" w:eastAsia="Arial" w:hAnsi="Arial" w:cs="Arial"/>
          <w:sz w:val="18"/>
          <w:szCs w:val="18"/>
        </w:rPr>
        <w:t xml:space="preserve">efer to the </w:t>
      </w:r>
      <w:r w:rsidR="00214EC4" w:rsidRPr="00507E0A">
        <w:rPr>
          <w:rFonts w:ascii="Arial" w:eastAsia="Arial" w:hAnsi="Arial" w:cs="Arial"/>
          <w:sz w:val="18"/>
          <w:szCs w:val="18"/>
        </w:rPr>
        <w:t>post-harvest</w:t>
      </w:r>
      <w:r w:rsidR="00640326" w:rsidRPr="00507E0A">
        <w:rPr>
          <w:rFonts w:ascii="Arial" w:eastAsia="Arial" w:hAnsi="Arial" w:cs="Arial"/>
          <w:sz w:val="18"/>
          <w:szCs w:val="18"/>
        </w:rPr>
        <w:t xml:space="preserve"> section.</w:t>
      </w:r>
    </w:p>
    <w:p w14:paraId="7B0F6F6D" w14:textId="33C1FEF5" w:rsidR="003E00ED" w:rsidRPr="00507E0A" w:rsidRDefault="00507E0A">
      <w:pPr>
        <w:rPr>
          <w:rFonts w:ascii="Arial" w:eastAsia="Arial" w:hAnsi="Arial" w:cs="Arial"/>
          <w:sz w:val="18"/>
          <w:szCs w:val="18"/>
        </w:rPr>
      </w:pPr>
      <w:r w:rsidRPr="00507E0A">
        <w:rPr>
          <w:rFonts w:ascii="Arial" w:eastAsia="Arial" w:hAnsi="Arial" w:cs="Arial"/>
          <w:b/>
          <w:sz w:val="18"/>
          <w:szCs w:val="18"/>
        </w:rPr>
        <w:t>Cucurbit (such as cucumber, melon, pumpkin, squash, and watermelon):</w:t>
      </w:r>
      <w:r w:rsidR="00640326" w:rsidRPr="00507E0A">
        <w:rPr>
          <w:rFonts w:ascii="Arial" w:eastAsia="Arial" w:hAnsi="Arial" w:cs="Arial"/>
          <w:sz w:val="18"/>
          <w:szCs w:val="18"/>
        </w:rPr>
        <w:t xml:space="preserve"> </w:t>
      </w:r>
      <w:r w:rsidR="00704FA1">
        <w:rPr>
          <w:rFonts w:ascii="Arial" w:eastAsia="Arial" w:hAnsi="Arial" w:cs="Arial"/>
          <w:sz w:val="18"/>
          <w:szCs w:val="18"/>
        </w:rPr>
        <w:t>A</w:t>
      </w:r>
      <w:r w:rsidR="00640326" w:rsidRPr="00507E0A">
        <w:rPr>
          <w:rFonts w:ascii="Arial" w:eastAsia="Arial" w:hAnsi="Arial" w:cs="Arial"/>
          <w:sz w:val="18"/>
          <w:szCs w:val="18"/>
        </w:rPr>
        <w:t xml:space="preserve">pply at any growth stage 3 to 5 days prior to a heat event. </w:t>
      </w:r>
      <w:r w:rsidR="00704FA1">
        <w:rPr>
          <w:rFonts w:ascii="Arial" w:eastAsia="Arial" w:hAnsi="Arial" w:cs="Arial"/>
          <w:sz w:val="18"/>
          <w:szCs w:val="18"/>
        </w:rPr>
        <w:t>A</w:t>
      </w:r>
      <w:r w:rsidR="00640326" w:rsidRPr="00507E0A">
        <w:rPr>
          <w:rFonts w:ascii="Arial" w:eastAsia="Arial" w:hAnsi="Arial" w:cs="Arial"/>
          <w:sz w:val="18"/>
          <w:szCs w:val="18"/>
        </w:rPr>
        <w:t xml:space="preserve">pply immediately after the first harvest for vine recovery in melons to facilitate subsequent harvests. </w:t>
      </w:r>
    </w:p>
    <w:p w14:paraId="1A329027" w14:textId="393E4BE1" w:rsidR="003E00ED" w:rsidRPr="00507E0A" w:rsidRDefault="00507E0A">
      <w:pPr>
        <w:rPr>
          <w:rFonts w:ascii="Arial" w:eastAsia="Arial" w:hAnsi="Arial" w:cs="Arial"/>
          <w:sz w:val="18"/>
          <w:szCs w:val="18"/>
        </w:rPr>
      </w:pPr>
      <w:r w:rsidRPr="00507E0A">
        <w:rPr>
          <w:rFonts w:ascii="Arial" w:eastAsia="Arial" w:hAnsi="Arial" w:cs="Arial"/>
          <w:b/>
          <w:sz w:val="18"/>
          <w:szCs w:val="18"/>
        </w:rPr>
        <w:t>Tree nuts (such as almond, chestnut, filbert, pecan, pistachio, walnut):</w:t>
      </w:r>
      <w:r w:rsidR="00640326" w:rsidRPr="00507E0A">
        <w:rPr>
          <w:rFonts w:ascii="Arial" w:eastAsia="Arial" w:hAnsi="Arial" w:cs="Arial"/>
          <w:sz w:val="18"/>
          <w:szCs w:val="18"/>
        </w:rPr>
        <w:t xml:space="preserve"> </w:t>
      </w:r>
      <w:r w:rsidR="00704FA1">
        <w:rPr>
          <w:rFonts w:ascii="Arial" w:eastAsia="Arial" w:hAnsi="Arial" w:cs="Arial"/>
          <w:sz w:val="18"/>
          <w:szCs w:val="18"/>
        </w:rPr>
        <w:t>I</w:t>
      </w:r>
      <w:r w:rsidR="00640326" w:rsidRPr="00507E0A">
        <w:rPr>
          <w:rFonts w:ascii="Arial" w:eastAsia="Arial" w:hAnsi="Arial" w:cs="Arial"/>
          <w:sz w:val="18"/>
          <w:szCs w:val="18"/>
        </w:rPr>
        <w:t>n nut crops, the first application should be made during the rapid growth of the ovary (future nut)</w:t>
      </w:r>
      <w:r w:rsidR="00704FA1">
        <w:rPr>
          <w:rFonts w:ascii="Arial" w:eastAsia="Arial" w:hAnsi="Arial" w:cs="Arial"/>
          <w:sz w:val="18"/>
          <w:szCs w:val="18"/>
        </w:rPr>
        <w:t>. A</w:t>
      </w:r>
      <w:r w:rsidR="00640326" w:rsidRPr="00507E0A">
        <w:rPr>
          <w:rFonts w:ascii="Arial" w:eastAsia="Arial" w:hAnsi="Arial" w:cs="Arial"/>
          <w:sz w:val="18"/>
          <w:szCs w:val="18"/>
        </w:rPr>
        <w:t xml:space="preserve">pply the second application at the onset of the kernel (rapid growth), usually occurring over 5-6 weeks before the shell reaches full size and hardening is underway. </w:t>
      </w:r>
      <w:r w:rsidR="00214EC4" w:rsidRPr="00507E0A">
        <w:rPr>
          <w:rFonts w:ascii="Arial" w:eastAsia="Arial" w:hAnsi="Arial" w:cs="Arial"/>
          <w:sz w:val="18"/>
          <w:szCs w:val="18"/>
        </w:rPr>
        <w:t>If</w:t>
      </w:r>
      <w:r w:rsidR="00640326" w:rsidRPr="00507E0A">
        <w:rPr>
          <w:rFonts w:ascii="Arial" w:eastAsia="Arial" w:hAnsi="Arial" w:cs="Arial"/>
          <w:sz w:val="18"/>
          <w:szCs w:val="18"/>
        </w:rPr>
        <w:t xml:space="preserve"> applications are being made for a heat event or water stress, apply 3 to 7 days before the event. </w:t>
      </w:r>
    </w:p>
    <w:p w14:paraId="20D0DCD8" w14:textId="472F42B5" w:rsidR="003E00ED" w:rsidRPr="00507E0A" w:rsidRDefault="00507E0A">
      <w:pPr>
        <w:rPr>
          <w:rFonts w:ascii="Arial" w:eastAsia="Arial" w:hAnsi="Arial" w:cs="Arial"/>
          <w:sz w:val="18"/>
          <w:szCs w:val="18"/>
        </w:rPr>
      </w:pPr>
      <w:r w:rsidRPr="00507E0A">
        <w:rPr>
          <w:rFonts w:ascii="Arial" w:eastAsia="Arial" w:hAnsi="Arial" w:cs="Arial"/>
          <w:b/>
          <w:sz w:val="18"/>
          <w:szCs w:val="18"/>
        </w:rPr>
        <w:t xml:space="preserve">Extreme water loss events and </w:t>
      </w:r>
      <w:r>
        <w:rPr>
          <w:rFonts w:ascii="Arial" w:eastAsia="Arial" w:hAnsi="Arial" w:cs="Arial"/>
          <w:b/>
          <w:sz w:val="18"/>
          <w:szCs w:val="18"/>
        </w:rPr>
        <w:t>WUE</w:t>
      </w:r>
      <w:r w:rsidRPr="00507E0A">
        <w:rPr>
          <w:rFonts w:ascii="Arial" w:eastAsia="Arial" w:hAnsi="Arial" w:cs="Arial"/>
          <w:b/>
          <w:sz w:val="18"/>
          <w:szCs w:val="18"/>
        </w:rPr>
        <w:t xml:space="preserve"> (such as loss of irrigation or extreme drought in non-irrigated crops): </w:t>
      </w:r>
      <w:r w:rsidR="00704FA1">
        <w:rPr>
          <w:rFonts w:ascii="Arial" w:eastAsia="Arial" w:hAnsi="Arial" w:cs="Arial"/>
          <w:sz w:val="18"/>
          <w:szCs w:val="18"/>
        </w:rPr>
        <w:t>A</w:t>
      </w:r>
      <w:r w:rsidR="00640326" w:rsidRPr="00507E0A">
        <w:rPr>
          <w:rFonts w:ascii="Arial" w:eastAsia="Arial" w:hAnsi="Arial" w:cs="Arial"/>
          <w:sz w:val="18"/>
          <w:szCs w:val="18"/>
        </w:rPr>
        <w:t xml:space="preserve">pply an 8% to 12% solution in a full-cover spray, preferably 50-100 gallons per acre, every 21 days or until water loss is reinstated. </w:t>
      </w:r>
    </w:p>
    <w:p w14:paraId="07B5188C" w14:textId="6D6B4047" w:rsidR="003E00ED" w:rsidRPr="00507E0A" w:rsidRDefault="00507E0A">
      <w:pPr>
        <w:rPr>
          <w:rFonts w:ascii="Arial" w:eastAsia="Arial" w:hAnsi="Arial" w:cs="Arial"/>
          <w:sz w:val="18"/>
          <w:szCs w:val="18"/>
        </w:rPr>
      </w:pPr>
      <w:r w:rsidRPr="00507E0A">
        <w:rPr>
          <w:rFonts w:ascii="Arial" w:eastAsia="Arial" w:hAnsi="Arial" w:cs="Arial"/>
          <w:b/>
          <w:sz w:val="18"/>
          <w:szCs w:val="18"/>
        </w:rPr>
        <w:t>Exposed tree trunks and irrigation driplines</w:t>
      </w:r>
      <w:r w:rsidR="00640326" w:rsidRPr="00507E0A">
        <w:rPr>
          <w:rFonts w:ascii="Arial" w:eastAsia="Arial" w:hAnsi="Arial" w:cs="Arial"/>
          <w:b/>
          <w:sz w:val="18"/>
          <w:szCs w:val="18"/>
        </w:rPr>
        <w:t xml:space="preserve">: </w:t>
      </w:r>
      <w:r w:rsidR="00704FA1">
        <w:rPr>
          <w:rFonts w:ascii="Arial" w:eastAsia="Arial" w:hAnsi="Arial" w:cs="Arial"/>
          <w:sz w:val="18"/>
          <w:szCs w:val="18"/>
        </w:rPr>
        <w:t>T</w:t>
      </w:r>
      <w:r w:rsidR="00640326" w:rsidRPr="00507E0A">
        <w:rPr>
          <w:rFonts w:ascii="Arial" w:eastAsia="Arial" w:hAnsi="Arial" w:cs="Arial"/>
          <w:sz w:val="18"/>
          <w:szCs w:val="18"/>
        </w:rPr>
        <w:t xml:space="preserve">o cool driplines and tree trunks, apply an 8-10% solution in a full-cover spray in 10-15 gallons of water. </w:t>
      </w:r>
    </w:p>
    <w:p w14:paraId="497B70AD" w14:textId="6795444F" w:rsidR="003E00ED" w:rsidRPr="00507E0A" w:rsidRDefault="00507E0A">
      <w:pPr>
        <w:rPr>
          <w:rFonts w:ascii="Arial" w:eastAsia="Arial" w:hAnsi="Arial" w:cs="Arial"/>
          <w:sz w:val="18"/>
          <w:szCs w:val="18"/>
        </w:rPr>
      </w:pPr>
      <w:r w:rsidRPr="00507E0A">
        <w:rPr>
          <w:rFonts w:ascii="Arial" w:eastAsia="Arial" w:hAnsi="Arial" w:cs="Arial"/>
          <w:b/>
          <w:sz w:val="18"/>
          <w:szCs w:val="18"/>
        </w:rPr>
        <w:t>Transplants:</w:t>
      </w:r>
      <w:r w:rsidR="00640326" w:rsidRPr="00507E0A">
        <w:rPr>
          <w:rFonts w:ascii="Arial" w:eastAsia="Arial" w:hAnsi="Arial" w:cs="Arial"/>
          <w:sz w:val="18"/>
          <w:szCs w:val="18"/>
        </w:rPr>
        <w:t xml:space="preserve"> </w:t>
      </w:r>
      <w:r w:rsidR="00704FA1">
        <w:rPr>
          <w:rFonts w:ascii="Arial" w:eastAsia="Arial" w:hAnsi="Arial" w:cs="Arial"/>
          <w:sz w:val="18"/>
          <w:szCs w:val="18"/>
        </w:rPr>
        <w:t>T</w:t>
      </w:r>
      <w:r w:rsidR="00640326" w:rsidRPr="00507E0A">
        <w:rPr>
          <w:rFonts w:ascii="Arial" w:eastAsia="Arial" w:hAnsi="Arial" w:cs="Arial"/>
          <w:sz w:val="18"/>
          <w:szCs w:val="18"/>
        </w:rPr>
        <w:t xml:space="preserve">o relieve water stress, transplant shock, and improved transpiration for better water use efficiency. </w:t>
      </w:r>
      <w:r w:rsidR="00704FA1">
        <w:rPr>
          <w:rFonts w:ascii="Arial" w:eastAsia="Arial" w:hAnsi="Arial" w:cs="Arial"/>
          <w:sz w:val="18"/>
          <w:szCs w:val="18"/>
        </w:rPr>
        <w:t>U</w:t>
      </w:r>
      <w:r w:rsidR="00640326" w:rsidRPr="00507E0A">
        <w:rPr>
          <w:rFonts w:ascii="Arial" w:eastAsia="Arial" w:hAnsi="Arial" w:cs="Arial"/>
          <w:sz w:val="18"/>
          <w:szCs w:val="18"/>
        </w:rPr>
        <w:t xml:space="preserve">se full cover sprays of 35 to 100 gallons </w:t>
      </w:r>
      <w:r w:rsidR="00640326" w:rsidRPr="00507E0A">
        <w:rPr>
          <w:rFonts w:ascii="Arial" w:eastAsia="Arial" w:hAnsi="Arial" w:cs="Arial"/>
          <w:sz w:val="18"/>
          <w:szCs w:val="18"/>
        </w:rPr>
        <w:t xml:space="preserve">per acre for field applications and full cover sprays in greenhouse and shade house beds. </w:t>
      </w:r>
      <w:r w:rsidR="00704FA1">
        <w:rPr>
          <w:rFonts w:ascii="Arial" w:eastAsia="Arial" w:hAnsi="Arial" w:cs="Arial"/>
          <w:sz w:val="18"/>
          <w:szCs w:val="18"/>
        </w:rPr>
        <w:t>F</w:t>
      </w:r>
      <w:r w:rsidR="00640326" w:rsidRPr="00507E0A">
        <w:rPr>
          <w:rFonts w:ascii="Arial" w:eastAsia="Arial" w:hAnsi="Arial" w:cs="Arial"/>
          <w:sz w:val="18"/>
          <w:szCs w:val="18"/>
        </w:rPr>
        <w:t xml:space="preserve">or vegetable crops and small fruits (either bare root or plug) apply prior to planting using a 3 to 4% solution. </w:t>
      </w:r>
      <w:r w:rsidR="00704FA1">
        <w:rPr>
          <w:rFonts w:ascii="Arial" w:eastAsia="Arial" w:hAnsi="Arial" w:cs="Arial"/>
          <w:sz w:val="18"/>
          <w:szCs w:val="18"/>
        </w:rPr>
        <w:t>U</w:t>
      </w:r>
      <w:r w:rsidR="00640326" w:rsidRPr="00507E0A">
        <w:rPr>
          <w:rFonts w:ascii="Arial" w:eastAsia="Arial" w:hAnsi="Arial" w:cs="Arial"/>
          <w:sz w:val="18"/>
          <w:szCs w:val="18"/>
        </w:rPr>
        <w:t xml:space="preserve">se a full-cover spray. </w:t>
      </w:r>
      <w:r w:rsidR="00704FA1">
        <w:rPr>
          <w:rFonts w:ascii="Arial" w:eastAsia="Arial" w:hAnsi="Arial" w:cs="Arial"/>
          <w:sz w:val="18"/>
          <w:szCs w:val="18"/>
        </w:rPr>
        <w:t>F</w:t>
      </w:r>
      <w:r w:rsidR="00640326" w:rsidRPr="00507E0A">
        <w:rPr>
          <w:rFonts w:ascii="Arial" w:eastAsia="Arial" w:hAnsi="Arial" w:cs="Arial"/>
          <w:sz w:val="18"/>
          <w:szCs w:val="18"/>
        </w:rPr>
        <w:t xml:space="preserve">or an agitated dip tank, make a 2 to 3% solution for dipping. </w:t>
      </w:r>
      <w:r w:rsidR="00704FA1">
        <w:rPr>
          <w:rFonts w:ascii="Arial" w:eastAsia="Arial" w:hAnsi="Arial" w:cs="Arial"/>
          <w:sz w:val="18"/>
          <w:szCs w:val="18"/>
        </w:rPr>
        <w:t>A</w:t>
      </w:r>
      <w:r w:rsidR="00640326" w:rsidRPr="00507E0A">
        <w:rPr>
          <w:rFonts w:ascii="Arial" w:eastAsia="Arial" w:hAnsi="Arial" w:cs="Arial"/>
          <w:sz w:val="18"/>
          <w:szCs w:val="18"/>
        </w:rPr>
        <w:t xml:space="preserve">llow the </w:t>
      </w:r>
      <w:r w:rsidR="004D57A5" w:rsidRPr="00507E0A">
        <w:rPr>
          <w:rFonts w:ascii="Arial" w:eastAsia="Arial" w:hAnsi="Arial" w:cs="Arial"/>
          <w:sz w:val="18"/>
          <w:szCs w:val="18"/>
        </w:rPr>
        <w:t>S</w:t>
      </w:r>
      <w:r w:rsidR="00640326" w:rsidRPr="00507E0A">
        <w:rPr>
          <w:rFonts w:ascii="Arial" w:eastAsia="Arial" w:hAnsi="Arial" w:cs="Arial"/>
          <w:sz w:val="18"/>
          <w:szCs w:val="18"/>
        </w:rPr>
        <w:t xml:space="preserve">olar </w:t>
      </w:r>
      <w:r w:rsidR="004D57A5" w:rsidRPr="00507E0A">
        <w:rPr>
          <w:rFonts w:ascii="Arial" w:eastAsia="Arial" w:hAnsi="Arial" w:cs="Arial"/>
          <w:sz w:val="18"/>
          <w:szCs w:val="18"/>
        </w:rPr>
        <w:t>G</w:t>
      </w:r>
      <w:r w:rsidR="00214EC4">
        <w:rPr>
          <w:rFonts w:ascii="Arial" w:eastAsia="Arial" w:hAnsi="Arial" w:cs="Arial"/>
          <w:sz w:val="18"/>
          <w:szCs w:val="18"/>
        </w:rPr>
        <w:t>u</w:t>
      </w:r>
      <w:r w:rsidR="004D57A5" w:rsidRPr="00507E0A">
        <w:rPr>
          <w:rFonts w:ascii="Arial" w:eastAsia="Arial" w:hAnsi="Arial" w:cs="Arial"/>
          <w:sz w:val="18"/>
          <w:szCs w:val="18"/>
        </w:rPr>
        <w:t>ard</w:t>
      </w:r>
      <w:r w:rsidR="00640326" w:rsidRPr="00507E0A">
        <w:rPr>
          <w:rFonts w:ascii="Arial" w:eastAsia="Arial" w:hAnsi="Arial" w:cs="Arial"/>
          <w:sz w:val="18"/>
          <w:szCs w:val="18"/>
        </w:rPr>
        <w:t xml:space="preserve"> to dry before shipping or transplanting. </w:t>
      </w:r>
      <w:r w:rsidR="00704FA1">
        <w:rPr>
          <w:rFonts w:ascii="Arial" w:eastAsia="Arial" w:hAnsi="Arial" w:cs="Arial"/>
          <w:sz w:val="18"/>
          <w:szCs w:val="18"/>
        </w:rPr>
        <w:t>A</w:t>
      </w:r>
      <w:r w:rsidR="00640326" w:rsidRPr="00507E0A">
        <w:rPr>
          <w:rFonts w:ascii="Arial" w:eastAsia="Arial" w:hAnsi="Arial" w:cs="Arial"/>
          <w:sz w:val="18"/>
          <w:szCs w:val="18"/>
        </w:rPr>
        <w:t xml:space="preserve">pply a second application 21 to 24 days after planting or 3 to 5 days prior to a water stress or heat event. </w:t>
      </w:r>
      <w:r w:rsidR="00704FA1">
        <w:rPr>
          <w:rFonts w:ascii="Arial" w:eastAsia="Arial" w:hAnsi="Arial" w:cs="Arial"/>
          <w:sz w:val="18"/>
          <w:szCs w:val="18"/>
        </w:rPr>
        <w:t>F</w:t>
      </w:r>
      <w:r w:rsidR="00640326" w:rsidRPr="00507E0A">
        <w:rPr>
          <w:rFonts w:ascii="Arial" w:eastAsia="Arial" w:hAnsi="Arial" w:cs="Arial"/>
          <w:sz w:val="18"/>
          <w:szCs w:val="18"/>
        </w:rPr>
        <w:t xml:space="preserve">or nursery, ornamentals, </w:t>
      </w:r>
      <w:r w:rsidR="004D57A5" w:rsidRPr="00507E0A">
        <w:rPr>
          <w:rFonts w:ascii="Arial" w:eastAsia="Arial" w:hAnsi="Arial" w:cs="Arial"/>
          <w:sz w:val="18"/>
          <w:szCs w:val="18"/>
        </w:rPr>
        <w:t>Christmas</w:t>
      </w:r>
      <w:r w:rsidR="00640326" w:rsidRPr="00507E0A">
        <w:rPr>
          <w:rFonts w:ascii="Arial" w:eastAsia="Arial" w:hAnsi="Arial" w:cs="Arial"/>
          <w:sz w:val="18"/>
          <w:szCs w:val="18"/>
        </w:rPr>
        <w:t xml:space="preserve"> trees, and forestry trees of all varieties (either field grown or greenhouse), apply a 3 to 4% solution over the seedling beds or transplant beds prior to lifting or transplanting. </w:t>
      </w:r>
      <w:r w:rsidR="00704FA1">
        <w:rPr>
          <w:rFonts w:ascii="Arial" w:eastAsia="Arial" w:hAnsi="Arial" w:cs="Arial"/>
          <w:sz w:val="18"/>
          <w:szCs w:val="18"/>
        </w:rPr>
        <w:t>F</w:t>
      </w:r>
      <w:r w:rsidR="00640326" w:rsidRPr="00507E0A">
        <w:rPr>
          <w:rFonts w:ascii="Arial" w:eastAsia="Arial" w:hAnsi="Arial" w:cs="Arial"/>
          <w:sz w:val="18"/>
          <w:szCs w:val="18"/>
        </w:rPr>
        <w:t xml:space="preserve">or agitated dip tanks, make a 2 to 3% solution for dipping. </w:t>
      </w:r>
      <w:r w:rsidR="00704FA1">
        <w:rPr>
          <w:rFonts w:ascii="Arial" w:eastAsia="Arial" w:hAnsi="Arial" w:cs="Arial"/>
          <w:sz w:val="18"/>
          <w:szCs w:val="18"/>
        </w:rPr>
        <w:t>A</w:t>
      </w:r>
      <w:r w:rsidR="00640326" w:rsidRPr="00507E0A">
        <w:rPr>
          <w:rFonts w:ascii="Arial" w:eastAsia="Arial" w:hAnsi="Arial" w:cs="Arial"/>
          <w:sz w:val="18"/>
          <w:szCs w:val="18"/>
        </w:rPr>
        <w:t xml:space="preserve">llow the spray or dip plants to dry before shipping or refrigeration. </w:t>
      </w:r>
      <w:r w:rsidR="00704FA1">
        <w:rPr>
          <w:rFonts w:ascii="Arial" w:eastAsia="Arial" w:hAnsi="Arial" w:cs="Arial"/>
          <w:sz w:val="18"/>
          <w:szCs w:val="18"/>
        </w:rPr>
        <w:t>A</w:t>
      </w:r>
      <w:r w:rsidR="00640326" w:rsidRPr="00507E0A">
        <w:rPr>
          <w:rFonts w:ascii="Arial" w:eastAsia="Arial" w:hAnsi="Arial" w:cs="Arial"/>
          <w:sz w:val="18"/>
          <w:szCs w:val="18"/>
        </w:rPr>
        <w:t>pply a second application 21 to 24 days after planting or 3 to 5 days prior to a heat event.</w:t>
      </w:r>
    </w:p>
    <w:p w14:paraId="1F9E7112" w14:textId="0B067998" w:rsidR="003E00ED" w:rsidRPr="00507E0A" w:rsidRDefault="00507E0A">
      <w:pPr>
        <w:rPr>
          <w:rFonts w:ascii="Arial" w:eastAsia="Arial" w:hAnsi="Arial" w:cs="Arial"/>
          <w:b/>
          <w:sz w:val="18"/>
          <w:szCs w:val="18"/>
        </w:rPr>
      </w:pPr>
      <w:r w:rsidRPr="00507E0A">
        <w:rPr>
          <w:rFonts w:ascii="Arial" w:eastAsia="Arial" w:hAnsi="Arial" w:cs="Arial"/>
          <w:b/>
          <w:sz w:val="18"/>
          <w:szCs w:val="18"/>
        </w:rPr>
        <w:t>Post</w:t>
      </w:r>
      <w:r w:rsidR="00704FA1">
        <w:rPr>
          <w:rFonts w:ascii="Arial" w:eastAsia="Arial" w:hAnsi="Arial" w:cs="Arial"/>
          <w:b/>
          <w:sz w:val="18"/>
          <w:szCs w:val="18"/>
        </w:rPr>
        <w:t>-</w:t>
      </w:r>
      <w:r w:rsidRPr="00507E0A">
        <w:rPr>
          <w:rFonts w:ascii="Arial" w:eastAsia="Arial" w:hAnsi="Arial" w:cs="Arial"/>
          <w:b/>
          <w:sz w:val="18"/>
          <w:szCs w:val="18"/>
        </w:rPr>
        <w:t xml:space="preserve">harvest removal (for fresh market, blueberries, strawberries, gooseberries, and other small fruits): </w:t>
      </w:r>
      <w:r w:rsidR="00704FA1">
        <w:rPr>
          <w:rFonts w:ascii="Arial" w:eastAsia="Arial" w:hAnsi="Arial" w:cs="Arial"/>
          <w:sz w:val="18"/>
          <w:szCs w:val="18"/>
        </w:rPr>
        <w:t>S</w:t>
      </w:r>
      <w:r w:rsidR="00640326" w:rsidRPr="00507E0A">
        <w:rPr>
          <w:rFonts w:ascii="Arial" w:eastAsia="Arial" w:hAnsi="Arial" w:cs="Arial"/>
          <w:sz w:val="18"/>
          <w:szCs w:val="18"/>
        </w:rPr>
        <w:t xml:space="preserve">olar </w:t>
      </w:r>
      <w:r w:rsidR="00704FA1">
        <w:rPr>
          <w:rFonts w:ascii="Arial" w:eastAsia="Arial" w:hAnsi="Arial" w:cs="Arial"/>
          <w:sz w:val="18"/>
          <w:szCs w:val="18"/>
        </w:rPr>
        <w:t>G</w:t>
      </w:r>
      <w:r w:rsidR="00640326" w:rsidRPr="00507E0A">
        <w:rPr>
          <w:rFonts w:ascii="Arial" w:eastAsia="Arial" w:hAnsi="Arial" w:cs="Arial"/>
          <w:sz w:val="18"/>
          <w:szCs w:val="18"/>
        </w:rPr>
        <w:t xml:space="preserve">uard can be removed by an acidified water-filled tank or spray system for most crops. </w:t>
      </w:r>
      <w:r w:rsidR="008D0105">
        <w:rPr>
          <w:rFonts w:ascii="Arial" w:eastAsia="Arial" w:hAnsi="Arial" w:cs="Arial"/>
          <w:sz w:val="18"/>
          <w:szCs w:val="18"/>
        </w:rPr>
        <w:t>W</w:t>
      </w:r>
      <w:r w:rsidR="00640326" w:rsidRPr="00507E0A">
        <w:rPr>
          <w:rFonts w:ascii="Arial" w:eastAsia="Arial" w:hAnsi="Arial" w:cs="Arial"/>
          <w:sz w:val="18"/>
          <w:szCs w:val="18"/>
        </w:rPr>
        <w:t>ater p</w:t>
      </w:r>
      <w:r>
        <w:rPr>
          <w:rFonts w:ascii="Arial" w:eastAsia="Arial" w:hAnsi="Arial" w:cs="Arial"/>
          <w:sz w:val="18"/>
          <w:szCs w:val="18"/>
        </w:rPr>
        <w:t>H</w:t>
      </w:r>
      <w:r w:rsidR="00640326" w:rsidRPr="00507E0A">
        <w:rPr>
          <w:rFonts w:ascii="Arial" w:eastAsia="Arial" w:hAnsi="Arial" w:cs="Arial"/>
          <w:sz w:val="18"/>
          <w:szCs w:val="18"/>
        </w:rPr>
        <w:t xml:space="preserve"> should be adjusted to 3.5-5.0 p</w:t>
      </w:r>
      <w:r>
        <w:rPr>
          <w:rFonts w:ascii="Arial" w:eastAsia="Arial" w:hAnsi="Arial" w:cs="Arial"/>
          <w:sz w:val="18"/>
          <w:szCs w:val="18"/>
        </w:rPr>
        <w:t>H</w:t>
      </w:r>
      <w:r w:rsidR="00640326" w:rsidRPr="00507E0A">
        <w:rPr>
          <w:rFonts w:ascii="Arial" w:eastAsia="Arial" w:hAnsi="Arial" w:cs="Arial"/>
          <w:sz w:val="18"/>
          <w:szCs w:val="18"/>
        </w:rPr>
        <w:t xml:space="preserve"> for removal. </w:t>
      </w:r>
      <w:r w:rsidR="008D0105">
        <w:rPr>
          <w:rFonts w:ascii="Arial" w:eastAsia="Arial" w:hAnsi="Arial" w:cs="Arial"/>
          <w:sz w:val="18"/>
          <w:szCs w:val="18"/>
        </w:rPr>
        <w:t>T</w:t>
      </w:r>
      <w:r w:rsidR="00640326" w:rsidRPr="00507E0A">
        <w:rPr>
          <w:rFonts w:ascii="Arial" w:eastAsia="Arial" w:hAnsi="Arial" w:cs="Arial"/>
          <w:sz w:val="18"/>
          <w:szCs w:val="18"/>
        </w:rPr>
        <w:t xml:space="preserve">o prevent calcite mineral visual residue, the spray period should be at the time of flowering and early green stage, but before veraison and/or desired coloring and marketability. </w:t>
      </w:r>
      <w:r w:rsidR="008D0105">
        <w:rPr>
          <w:rFonts w:ascii="Arial" w:eastAsia="Arial" w:hAnsi="Arial" w:cs="Arial"/>
          <w:sz w:val="18"/>
          <w:szCs w:val="18"/>
        </w:rPr>
        <w:t>U</w:t>
      </w:r>
      <w:r w:rsidR="00640326" w:rsidRPr="00507E0A">
        <w:rPr>
          <w:rFonts w:ascii="Arial" w:eastAsia="Arial" w:hAnsi="Arial" w:cs="Arial"/>
          <w:sz w:val="18"/>
          <w:szCs w:val="18"/>
        </w:rPr>
        <w:t xml:space="preserve">se caution when applying to crops if the presence of a </w:t>
      </w:r>
      <w:r w:rsidR="008D0105" w:rsidRPr="000B3117">
        <w:rPr>
          <w:rFonts w:ascii="Arial" w:eastAsia="Arial" w:hAnsi="Arial" w:cs="Arial"/>
          <w:sz w:val="18"/>
          <w:szCs w:val="18"/>
        </w:rPr>
        <w:t xml:space="preserve">calcite mineral visual residue </w:t>
      </w:r>
      <w:r w:rsidR="00640326" w:rsidRPr="00507E0A">
        <w:rPr>
          <w:rFonts w:ascii="Arial" w:eastAsia="Arial" w:hAnsi="Arial" w:cs="Arial"/>
          <w:sz w:val="18"/>
          <w:szCs w:val="18"/>
        </w:rPr>
        <w:t xml:space="preserve">is problematic for marketability, and washing or removal of residue is not possible, especially for ornamentals. </w:t>
      </w:r>
    </w:p>
    <w:p w14:paraId="4696AD98" w14:textId="7857C154" w:rsidR="004D57A5" w:rsidRPr="00507E0A" w:rsidRDefault="00507E0A" w:rsidP="00507E0A">
      <w:pPr>
        <w:rPr>
          <w:rFonts w:ascii="Arial" w:eastAsia="Arial" w:hAnsi="Arial" w:cs="Arial"/>
          <w:color w:val="0070C0"/>
          <w:sz w:val="18"/>
          <w:szCs w:val="18"/>
        </w:rPr>
        <w:sectPr w:rsidR="004D57A5" w:rsidRPr="00507E0A" w:rsidSect="00507E0A">
          <w:type w:val="continuous"/>
          <w:pgSz w:w="15840" w:h="12240" w:orient="landscape"/>
          <w:pgMar w:top="576" w:right="576" w:bottom="576" w:left="576" w:header="720" w:footer="720" w:gutter="0"/>
          <w:pgNumType w:start="1"/>
          <w:cols w:num="3" w:space="720"/>
        </w:sectPr>
      </w:pPr>
      <w:r w:rsidRPr="00507E0A">
        <w:rPr>
          <w:rFonts w:ascii="Arial" w:eastAsia="Arial" w:hAnsi="Arial" w:cs="Arial"/>
          <w:b/>
          <w:sz w:val="18"/>
          <w:szCs w:val="18"/>
        </w:rPr>
        <w:t>Conditions of sale and limitations of warranty and liability:</w:t>
      </w:r>
      <w:r w:rsidR="00640326" w:rsidRPr="00507E0A">
        <w:rPr>
          <w:rFonts w:ascii="Arial" w:eastAsia="Arial" w:hAnsi="Arial" w:cs="Arial"/>
          <w:sz w:val="18"/>
          <w:szCs w:val="18"/>
        </w:rPr>
        <w:t xml:space="preserve"> </w:t>
      </w:r>
      <w:r w:rsidRPr="00507E0A">
        <w:rPr>
          <w:rFonts w:ascii="Arial" w:eastAsia="Arial" w:hAnsi="Arial" w:cs="Arial"/>
          <w:sz w:val="18"/>
          <w:szCs w:val="18"/>
        </w:rPr>
        <w:t>Willamette</w:t>
      </w:r>
      <w:r w:rsidR="00640326" w:rsidRPr="00507E0A">
        <w:rPr>
          <w:rFonts w:ascii="Arial" w:eastAsia="Arial" w:hAnsi="Arial" w:cs="Arial"/>
          <w:sz w:val="18"/>
          <w:szCs w:val="18"/>
        </w:rPr>
        <w:t xml:space="preserve"> </w:t>
      </w:r>
      <w:r>
        <w:rPr>
          <w:rFonts w:ascii="Arial" w:eastAsia="Arial" w:hAnsi="Arial" w:cs="Arial"/>
          <w:sz w:val="18"/>
          <w:szCs w:val="18"/>
        </w:rPr>
        <w:t>A</w:t>
      </w:r>
      <w:r w:rsidR="00640326" w:rsidRPr="00507E0A">
        <w:rPr>
          <w:rFonts w:ascii="Arial" w:eastAsia="Arial" w:hAnsi="Arial" w:cs="Arial"/>
          <w:sz w:val="18"/>
          <w:szCs w:val="18"/>
        </w:rPr>
        <w:t xml:space="preserve">g, </w:t>
      </w:r>
      <w:r>
        <w:rPr>
          <w:rFonts w:ascii="Arial" w:eastAsia="Arial" w:hAnsi="Arial" w:cs="Arial"/>
          <w:sz w:val="18"/>
          <w:szCs w:val="18"/>
        </w:rPr>
        <w:t>I</w:t>
      </w:r>
      <w:r w:rsidR="00640326" w:rsidRPr="00507E0A">
        <w:rPr>
          <w:rFonts w:ascii="Arial" w:eastAsia="Arial" w:hAnsi="Arial" w:cs="Arial"/>
          <w:sz w:val="18"/>
          <w:szCs w:val="18"/>
        </w:rPr>
        <w:t xml:space="preserve">nc. warrants only that this product conforms to the product description on the label and makes no representation or warranty or guarantee, whether expressed or implied, of fitness for a particular purpose of merchantability, or of product </w:t>
      </w:r>
      <w:r w:rsidR="00F354C1" w:rsidRPr="00507E0A">
        <w:rPr>
          <w:rFonts w:ascii="Arial" w:eastAsia="Arial" w:hAnsi="Arial" w:cs="Arial"/>
          <w:sz w:val="18"/>
          <w:szCs w:val="18"/>
        </w:rPr>
        <w:t>performance</w:t>
      </w:r>
      <w:r w:rsidR="00640326" w:rsidRPr="00507E0A">
        <w:rPr>
          <w:rFonts w:ascii="Arial" w:eastAsia="Arial" w:hAnsi="Arial" w:cs="Arial"/>
          <w:sz w:val="18"/>
          <w:szCs w:val="18"/>
        </w:rPr>
        <w:t xml:space="preserve">. </w:t>
      </w:r>
    </w:p>
    <w:p w14:paraId="2EF330AA" w14:textId="3DCCAB64" w:rsidR="00882FA9" w:rsidRDefault="00AE6E58" w:rsidP="00507E0A">
      <w:pPr>
        <w:rPr>
          <w:rFonts w:ascii="Arial" w:eastAsia="Arial" w:hAnsi="Arial" w:cs="Arial"/>
          <w:b/>
          <w:sz w:val="18"/>
          <w:szCs w:val="18"/>
        </w:rPr>
      </w:pPr>
      <w:r w:rsidRPr="00507E0A">
        <w:rPr>
          <w:rFonts w:ascii="Arial" w:eastAsia="Arial" w:hAnsi="Arial" w:cs="Arial"/>
          <w:b/>
          <w:sz w:val="18"/>
          <w:szCs w:val="18"/>
        </w:rPr>
        <w:t xml:space="preserve">HELPFUL DILUTION GUIDELINES FOR </w:t>
      </w:r>
      <w:r>
        <w:rPr>
          <w:rFonts w:ascii="Arial" w:eastAsia="Arial" w:hAnsi="Arial" w:cs="Arial"/>
          <w:b/>
          <w:sz w:val="18"/>
          <w:szCs w:val="18"/>
        </w:rPr>
        <w:t>S</w:t>
      </w:r>
      <w:r w:rsidRPr="00507E0A">
        <w:rPr>
          <w:rFonts w:ascii="Arial" w:eastAsia="Arial" w:hAnsi="Arial" w:cs="Arial"/>
          <w:b/>
          <w:sz w:val="18"/>
          <w:szCs w:val="18"/>
        </w:rPr>
        <w:t xml:space="preserve">MALL </w:t>
      </w:r>
      <w:r>
        <w:rPr>
          <w:rFonts w:ascii="Arial" w:eastAsia="Arial" w:hAnsi="Arial" w:cs="Arial"/>
          <w:b/>
          <w:sz w:val="18"/>
          <w:szCs w:val="18"/>
        </w:rPr>
        <w:t>V</w:t>
      </w:r>
      <w:r w:rsidRPr="00507E0A">
        <w:rPr>
          <w:rFonts w:ascii="Arial" w:eastAsia="Arial" w:hAnsi="Arial" w:cs="Arial"/>
          <w:b/>
          <w:sz w:val="18"/>
          <w:szCs w:val="18"/>
        </w:rPr>
        <w:t>OLUME</w:t>
      </w:r>
    </w:p>
    <w:tbl>
      <w:tblPr>
        <w:tblStyle w:val="TableGrid"/>
        <w:tblW w:w="0" w:type="auto"/>
        <w:tblLook w:val="04A0" w:firstRow="1" w:lastRow="0" w:firstColumn="1" w:lastColumn="0" w:noHBand="0" w:noVBand="1"/>
      </w:tblPr>
      <w:tblGrid>
        <w:gridCol w:w="4796"/>
        <w:gridCol w:w="4797"/>
        <w:gridCol w:w="4797"/>
      </w:tblGrid>
      <w:tr w:rsidR="00507E0A" w14:paraId="262B6D2E" w14:textId="77777777" w:rsidTr="00F354C1">
        <w:tc>
          <w:tcPr>
            <w:tcW w:w="4796" w:type="dxa"/>
            <w:shd w:val="clear" w:color="auto" w:fill="84E290" w:themeFill="accent3" w:themeFillTint="66"/>
          </w:tcPr>
          <w:p w14:paraId="3F5839A0" w14:textId="28CBAB52" w:rsidR="00507E0A" w:rsidRDefault="00F354C1" w:rsidP="00507E0A">
            <w:pPr>
              <w:rPr>
                <w:rFonts w:ascii="Arial" w:eastAsia="Arial" w:hAnsi="Arial" w:cs="Arial"/>
                <w:b/>
                <w:sz w:val="18"/>
                <w:szCs w:val="18"/>
              </w:rPr>
            </w:pPr>
            <w:r>
              <w:rPr>
                <w:rFonts w:ascii="Arial" w:eastAsia="Arial" w:hAnsi="Arial" w:cs="Arial"/>
                <w:b/>
                <w:sz w:val="18"/>
                <w:szCs w:val="18"/>
              </w:rPr>
              <w:t>Percent Solution</w:t>
            </w:r>
          </w:p>
        </w:tc>
        <w:tc>
          <w:tcPr>
            <w:tcW w:w="4797" w:type="dxa"/>
            <w:shd w:val="clear" w:color="auto" w:fill="84E290" w:themeFill="accent3" w:themeFillTint="66"/>
          </w:tcPr>
          <w:p w14:paraId="36A7812C" w14:textId="6A8565D0" w:rsidR="00507E0A" w:rsidRDefault="00F354C1" w:rsidP="00507E0A">
            <w:pPr>
              <w:rPr>
                <w:rFonts w:ascii="Arial" w:eastAsia="Arial" w:hAnsi="Arial" w:cs="Arial"/>
                <w:b/>
                <w:sz w:val="18"/>
                <w:szCs w:val="18"/>
              </w:rPr>
            </w:pPr>
            <w:r>
              <w:rPr>
                <w:rFonts w:ascii="Arial" w:eastAsia="Arial" w:hAnsi="Arial" w:cs="Arial"/>
                <w:b/>
                <w:sz w:val="18"/>
                <w:szCs w:val="18"/>
              </w:rPr>
              <w:t>Gallons of Water per Acre</w:t>
            </w:r>
          </w:p>
        </w:tc>
        <w:tc>
          <w:tcPr>
            <w:tcW w:w="4797" w:type="dxa"/>
            <w:shd w:val="clear" w:color="auto" w:fill="84E290" w:themeFill="accent3" w:themeFillTint="66"/>
          </w:tcPr>
          <w:p w14:paraId="53134ADA" w14:textId="66E9A3C1" w:rsidR="00507E0A" w:rsidRDefault="00F354C1" w:rsidP="00507E0A">
            <w:pPr>
              <w:rPr>
                <w:rFonts w:ascii="Arial" w:eastAsia="Arial" w:hAnsi="Arial" w:cs="Arial"/>
                <w:b/>
                <w:sz w:val="18"/>
                <w:szCs w:val="18"/>
              </w:rPr>
            </w:pPr>
            <w:r>
              <w:rPr>
                <w:rFonts w:ascii="Arial" w:eastAsia="Arial" w:hAnsi="Arial" w:cs="Arial"/>
                <w:b/>
                <w:sz w:val="18"/>
                <w:szCs w:val="18"/>
              </w:rPr>
              <w:t>Amount per Acre</w:t>
            </w:r>
          </w:p>
        </w:tc>
      </w:tr>
      <w:tr w:rsidR="00507E0A" w14:paraId="1D5FE82D" w14:textId="77777777" w:rsidTr="00507E0A">
        <w:tc>
          <w:tcPr>
            <w:tcW w:w="4796" w:type="dxa"/>
          </w:tcPr>
          <w:p w14:paraId="6B084B56" w14:textId="176C0B66" w:rsidR="00507E0A" w:rsidRDefault="00F354C1" w:rsidP="00507E0A">
            <w:pPr>
              <w:rPr>
                <w:rFonts w:ascii="Arial" w:eastAsia="Arial" w:hAnsi="Arial" w:cs="Arial"/>
                <w:b/>
                <w:sz w:val="18"/>
                <w:szCs w:val="18"/>
              </w:rPr>
            </w:pPr>
            <w:r>
              <w:rPr>
                <w:rFonts w:ascii="Arial" w:eastAsia="Arial" w:hAnsi="Arial" w:cs="Arial"/>
                <w:b/>
                <w:sz w:val="18"/>
                <w:szCs w:val="18"/>
              </w:rPr>
              <w:t>2%</w:t>
            </w:r>
          </w:p>
        </w:tc>
        <w:tc>
          <w:tcPr>
            <w:tcW w:w="4797" w:type="dxa"/>
          </w:tcPr>
          <w:p w14:paraId="383F02FA" w14:textId="1C5AE3B6" w:rsidR="00507E0A" w:rsidRDefault="00F354C1" w:rsidP="00507E0A">
            <w:pPr>
              <w:rPr>
                <w:rFonts w:ascii="Arial" w:eastAsia="Arial" w:hAnsi="Arial" w:cs="Arial"/>
                <w:b/>
                <w:sz w:val="18"/>
                <w:szCs w:val="18"/>
              </w:rPr>
            </w:pPr>
            <w:r>
              <w:rPr>
                <w:rFonts w:ascii="Arial" w:eastAsia="Arial" w:hAnsi="Arial" w:cs="Arial"/>
                <w:b/>
                <w:sz w:val="18"/>
                <w:szCs w:val="18"/>
              </w:rPr>
              <w:t>15</w:t>
            </w:r>
          </w:p>
        </w:tc>
        <w:tc>
          <w:tcPr>
            <w:tcW w:w="4797" w:type="dxa"/>
          </w:tcPr>
          <w:p w14:paraId="6461F77A" w14:textId="78C01134" w:rsidR="00507E0A" w:rsidRDefault="00F354C1" w:rsidP="00507E0A">
            <w:pPr>
              <w:rPr>
                <w:rFonts w:ascii="Arial" w:eastAsia="Arial" w:hAnsi="Arial" w:cs="Arial"/>
                <w:b/>
                <w:sz w:val="18"/>
                <w:szCs w:val="18"/>
              </w:rPr>
            </w:pPr>
            <w:r>
              <w:rPr>
                <w:rFonts w:ascii="Arial" w:eastAsia="Arial" w:hAnsi="Arial" w:cs="Arial"/>
                <w:b/>
                <w:sz w:val="18"/>
                <w:szCs w:val="18"/>
              </w:rPr>
              <w:t>38 oz</w:t>
            </w:r>
          </w:p>
        </w:tc>
      </w:tr>
      <w:tr w:rsidR="00507E0A" w14:paraId="0D8F076B" w14:textId="77777777" w:rsidTr="00507E0A">
        <w:tc>
          <w:tcPr>
            <w:tcW w:w="4796" w:type="dxa"/>
          </w:tcPr>
          <w:p w14:paraId="035ACC8F" w14:textId="535C73FB" w:rsidR="00507E0A" w:rsidRDefault="00F354C1" w:rsidP="00507E0A">
            <w:pPr>
              <w:rPr>
                <w:rFonts w:ascii="Arial" w:eastAsia="Arial" w:hAnsi="Arial" w:cs="Arial"/>
                <w:b/>
                <w:sz w:val="18"/>
                <w:szCs w:val="18"/>
              </w:rPr>
            </w:pPr>
            <w:r>
              <w:rPr>
                <w:rFonts w:ascii="Arial" w:eastAsia="Arial" w:hAnsi="Arial" w:cs="Arial"/>
                <w:b/>
                <w:sz w:val="18"/>
                <w:szCs w:val="18"/>
              </w:rPr>
              <w:t>3%</w:t>
            </w:r>
          </w:p>
        </w:tc>
        <w:tc>
          <w:tcPr>
            <w:tcW w:w="4797" w:type="dxa"/>
          </w:tcPr>
          <w:p w14:paraId="4D6644FE" w14:textId="7C593489" w:rsidR="00507E0A" w:rsidRDefault="00F354C1" w:rsidP="00507E0A">
            <w:pPr>
              <w:rPr>
                <w:rFonts w:ascii="Arial" w:eastAsia="Arial" w:hAnsi="Arial" w:cs="Arial"/>
                <w:b/>
                <w:sz w:val="18"/>
                <w:szCs w:val="18"/>
              </w:rPr>
            </w:pPr>
            <w:r>
              <w:rPr>
                <w:rFonts w:ascii="Arial" w:eastAsia="Arial" w:hAnsi="Arial" w:cs="Arial"/>
                <w:b/>
                <w:sz w:val="18"/>
                <w:szCs w:val="18"/>
              </w:rPr>
              <w:t>15</w:t>
            </w:r>
          </w:p>
        </w:tc>
        <w:tc>
          <w:tcPr>
            <w:tcW w:w="4797" w:type="dxa"/>
          </w:tcPr>
          <w:p w14:paraId="6771A335" w14:textId="71C85227" w:rsidR="00507E0A" w:rsidRDefault="00F354C1" w:rsidP="00507E0A">
            <w:pPr>
              <w:rPr>
                <w:rFonts w:ascii="Arial" w:eastAsia="Arial" w:hAnsi="Arial" w:cs="Arial"/>
                <w:b/>
                <w:sz w:val="18"/>
                <w:szCs w:val="18"/>
              </w:rPr>
            </w:pPr>
            <w:r>
              <w:rPr>
                <w:rFonts w:ascii="Arial" w:eastAsia="Arial" w:hAnsi="Arial" w:cs="Arial"/>
                <w:b/>
                <w:sz w:val="18"/>
                <w:szCs w:val="18"/>
              </w:rPr>
              <w:t>58 oz</w:t>
            </w:r>
          </w:p>
        </w:tc>
      </w:tr>
      <w:tr w:rsidR="00507E0A" w14:paraId="2188677E" w14:textId="77777777" w:rsidTr="00507E0A">
        <w:tc>
          <w:tcPr>
            <w:tcW w:w="4796" w:type="dxa"/>
          </w:tcPr>
          <w:p w14:paraId="431C3B35" w14:textId="243DBAA0" w:rsidR="00507E0A" w:rsidRDefault="00F354C1" w:rsidP="00507E0A">
            <w:pPr>
              <w:rPr>
                <w:rFonts w:ascii="Arial" w:eastAsia="Arial" w:hAnsi="Arial" w:cs="Arial"/>
                <w:b/>
                <w:sz w:val="18"/>
                <w:szCs w:val="18"/>
              </w:rPr>
            </w:pPr>
            <w:r>
              <w:rPr>
                <w:rFonts w:ascii="Arial" w:eastAsia="Arial" w:hAnsi="Arial" w:cs="Arial"/>
                <w:b/>
                <w:sz w:val="18"/>
                <w:szCs w:val="18"/>
              </w:rPr>
              <w:t>4%</w:t>
            </w:r>
          </w:p>
        </w:tc>
        <w:tc>
          <w:tcPr>
            <w:tcW w:w="4797" w:type="dxa"/>
          </w:tcPr>
          <w:p w14:paraId="2D1847F5" w14:textId="385D8C8E" w:rsidR="00507E0A" w:rsidRDefault="00F354C1" w:rsidP="00507E0A">
            <w:pPr>
              <w:rPr>
                <w:rFonts w:ascii="Arial" w:eastAsia="Arial" w:hAnsi="Arial" w:cs="Arial"/>
                <w:b/>
                <w:sz w:val="18"/>
                <w:szCs w:val="18"/>
              </w:rPr>
            </w:pPr>
            <w:r>
              <w:rPr>
                <w:rFonts w:ascii="Arial" w:eastAsia="Arial" w:hAnsi="Arial" w:cs="Arial"/>
                <w:b/>
                <w:sz w:val="18"/>
                <w:szCs w:val="18"/>
              </w:rPr>
              <w:t>15</w:t>
            </w:r>
          </w:p>
        </w:tc>
        <w:tc>
          <w:tcPr>
            <w:tcW w:w="4797" w:type="dxa"/>
          </w:tcPr>
          <w:p w14:paraId="178D4478" w14:textId="45B1EAF4" w:rsidR="00507E0A" w:rsidRDefault="00F354C1" w:rsidP="00507E0A">
            <w:pPr>
              <w:rPr>
                <w:rFonts w:ascii="Arial" w:eastAsia="Arial" w:hAnsi="Arial" w:cs="Arial"/>
                <w:b/>
                <w:sz w:val="18"/>
                <w:szCs w:val="18"/>
              </w:rPr>
            </w:pPr>
            <w:r>
              <w:rPr>
                <w:rFonts w:ascii="Arial" w:eastAsia="Arial" w:hAnsi="Arial" w:cs="Arial"/>
                <w:b/>
                <w:sz w:val="18"/>
                <w:szCs w:val="18"/>
              </w:rPr>
              <w:t>77 oz</w:t>
            </w:r>
          </w:p>
        </w:tc>
      </w:tr>
      <w:tr w:rsidR="00507E0A" w14:paraId="31D918FA" w14:textId="77777777" w:rsidTr="00507E0A">
        <w:tc>
          <w:tcPr>
            <w:tcW w:w="4796" w:type="dxa"/>
          </w:tcPr>
          <w:p w14:paraId="4C543B43" w14:textId="78C8ED4B" w:rsidR="00507E0A" w:rsidRDefault="00F354C1" w:rsidP="00507E0A">
            <w:pPr>
              <w:rPr>
                <w:rFonts w:ascii="Arial" w:eastAsia="Arial" w:hAnsi="Arial" w:cs="Arial"/>
                <w:b/>
                <w:sz w:val="18"/>
                <w:szCs w:val="18"/>
              </w:rPr>
            </w:pPr>
            <w:r>
              <w:rPr>
                <w:rFonts w:ascii="Arial" w:eastAsia="Arial" w:hAnsi="Arial" w:cs="Arial"/>
                <w:b/>
                <w:sz w:val="18"/>
                <w:szCs w:val="18"/>
              </w:rPr>
              <w:t>2%</w:t>
            </w:r>
          </w:p>
        </w:tc>
        <w:tc>
          <w:tcPr>
            <w:tcW w:w="4797" w:type="dxa"/>
          </w:tcPr>
          <w:p w14:paraId="56725281" w14:textId="0C0E6798" w:rsidR="00507E0A" w:rsidRDefault="00F354C1" w:rsidP="00507E0A">
            <w:pPr>
              <w:rPr>
                <w:rFonts w:ascii="Arial" w:eastAsia="Arial" w:hAnsi="Arial" w:cs="Arial"/>
                <w:b/>
                <w:sz w:val="18"/>
                <w:szCs w:val="18"/>
              </w:rPr>
            </w:pPr>
            <w:r>
              <w:rPr>
                <w:rFonts w:ascii="Arial" w:eastAsia="Arial" w:hAnsi="Arial" w:cs="Arial"/>
                <w:b/>
                <w:sz w:val="18"/>
                <w:szCs w:val="18"/>
              </w:rPr>
              <w:t>20</w:t>
            </w:r>
          </w:p>
        </w:tc>
        <w:tc>
          <w:tcPr>
            <w:tcW w:w="4797" w:type="dxa"/>
          </w:tcPr>
          <w:p w14:paraId="7AD3FE8B" w14:textId="6396C25E" w:rsidR="00507E0A" w:rsidRDefault="00F354C1" w:rsidP="00507E0A">
            <w:pPr>
              <w:rPr>
                <w:rFonts w:ascii="Arial" w:eastAsia="Arial" w:hAnsi="Arial" w:cs="Arial"/>
                <w:b/>
                <w:sz w:val="18"/>
                <w:szCs w:val="18"/>
              </w:rPr>
            </w:pPr>
            <w:r>
              <w:rPr>
                <w:rFonts w:ascii="Arial" w:eastAsia="Arial" w:hAnsi="Arial" w:cs="Arial"/>
                <w:b/>
                <w:sz w:val="18"/>
                <w:szCs w:val="18"/>
              </w:rPr>
              <w:t>76 oz</w:t>
            </w:r>
          </w:p>
        </w:tc>
      </w:tr>
    </w:tbl>
    <w:p w14:paraId="5CB38DD4" w14:textId="77777777" w:rsidR="003E00ED" w:rsidRPr="00507E0A" w:rsidRDefault="003E00ED">
      <w:pPr>
        <w:rPr>
          <w:rFonts w:ascii="Arial" w:eastAsia="Arial" w:hAnsi="Arial" w:cs="Arial"/>
          <w:sz w:val="18"/>
          <w:szCs w:val="18"/>
        </w:rPr>
      </w:pPr>
    </w:p>
    <w:sectPr w:rsidR="003E00ED" w:rsidRPr="00507E0A" w:rsidSect="004D57A5">
      <w:type w:val="continuous"/>
      <w:pgSz w:w="15840" w:h="12240" w:orient="landscape"/>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charset w:val="00"/>
    <w:family w:val="auto"/>
    <w:pitch w:val="default"/>
    <w:embedRegular r:id="rId1" w:fontKey="{F378418B-E8B1-4DF1-8452-6B1FF3BC6852}"/>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embedRegular r:id="rId2" w:fontKey="{2E647E09-C29C-4444-AA62-C9D44024FEDB}"/>
    <w:embedItalic r:id="rId3" w:fontKey="{EAF922C3-AFEF-4C88-9C28-65B3B4EDE21A}"/>
  </w:font>
  <w:font w:name="Aptos Display">
    <w:charset w:val="00"/>
    <w:family w:val="swiss"/>
    <w:pitch w:val="variable"/>
    <w:sig w:usb0="20000287" w:usb1="00000003" w:usb2="00000000" w:usb3="00000000" w:csb0="0000019F" w:csb1="00000000"/>
    <w:embedRegular r:id="rId4" w:fontKey="{19B66B0C-D388-48DE-B9A5-A0D174AFBD4D}"/>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71042"/>
    <w:multiLevelType w:val="hybridMultilevel"/>
    <w:tmpl w:val="B37ADA0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3FE449C"/>
    <w:multiLevelType w:val="multilevel"/>
    <w:tmpl w:val="48F2D4D8"/>
    <w:lvl w:ilvl="0">
      <w:start w:val="1"/>
      <w:numFmt w:val="bullet"/>
      <w:lvlText w:val="⬜"/>
      <w:lvlJc w:val="left"/>
      <w:pPr>
        <w:ind w:left="720" w:hanging="360"/>
      </w:pPr>
      <w:rPr>
        <w:rFonts w:ascii="Noto Sans Symbols" w:eastAsia="Noto Sans Symbols" w:hAnsi="Noto Sans Symbols" w:cs="Noto Sans Symbols"/>
        <w:lang w:val="fr-FR"/>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646203094">
    <w:abstractNumId w:val="1"/>
  </w:num>
  <w:num w:numId="2" w16cid:durableId="5389738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embedTrueTypeFont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0ED"/>
    <w:rsid w:val="00015D51"/>
    <w:rsid w:val="000B3117"/>
    <w:rsid w:val="000E5359"/>
    <w:rsid w:val="000E644A"/>
    <w:rsid w:val="00214EC4"/>
    <w:rsid w:val="002D63E8"/>
    <w:rsid w:val="00315305"/>
    <w:rsid w:val="003D1C64"/>
    <w:rsid w:val="003E00ED"/>
    <w:rsid w:val="004D57A5"/>
    <w:rsid w:val="00507E0A"/>
    <w:rsid w:val="00640326"/>
    <w:rsid w:val="006750FD"/>
    <w:rsid w:val="00704FA1"/>
    <w:rsid w:val="00810EC5"/>
    <w:rsid w:val="00882FA9"/>
    <w:rsid w:val="008B2AD9"/>
    <w:rsid w:val="008D0105"/>
    <w:rsid w:val="008F40AE"/>
    <w:rsid w:val="009C7AAE"/>
    <w:rsid w:val="009D0C5C"/>
    <w:rsid w:val="00A72DCE"/>
    <w:rsid w:val="00A82833"/>
    <w:rsid w:val="00AE6E58"/>
    <w:rsid w:val="00BB12BB"/>
    <w:rsid w:val="00F006D1"/>
    <w:rsid w:val="00F354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753EC"/>
  <w15:docId w15:val="{80A68174-8FBF-4A5D-B8D8-FB0A4E811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B09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B09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B09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B09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B09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B09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09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09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09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B09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0B09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B09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09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09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09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09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09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09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09D2"/>
    <w:rPr>
      <w:rFonts w:eastAsiaTheme="majorEastAsia" w:cstheme="majorBidi"/>
      <w:color w:val="272727" w:themeColor="text1" w:themeTint="D8"/>
    </w:rPr>
  </w:style>
  <w:style w:type="character" w:customStyle="1" w:styleId="TitleChar">
    <w:name w:val="Title Char"/>
    <w:basedOn w:val="DefaultParagraphFont"/>
    <w:link w:val="Title"/>
    <w:uiPriority w:val="10"/>
    <w:rsid w:val="000B09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Pr>
      <w:color w:val="595959"/>
      <w:sz w:val="28"/>
      <w:szCs w:val="28"/>
    </w:rPr>
  </w:style>
  <w:style w:type="character" w:customStyle="1" w:styleId="SubtitleChar">
    <w:name w:val="Subtitle Char"/>
    <w:basedOn w:val="DefaultParagraphFont"/>
    <w:link w:val="Subtitle"/>
    <w:uiPriority w:val="11"/>
    <w:rsid w:val="000B09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09D2"/>
    <w:pPr>
      <w:spacing w:before="160"/>
      <w:jc w:val="center"/>
    </w:pPr>
    <w:rPr>
      <w:i/>
      <w:iCs/>
      <w:color w:val="404040" w:themeColor="text1" w:themeTint="BF"/>
    </w:rPr>
  </w:style>
  <w:style w:type="character" w:customStyle="1" w:styleId="QuoteChar">
    <w:name w:val="Quote Char"/>
    <w:basedOn w:val="DefaultParagraphFont"/>
    <w:link w:val="Quote"/>
    <w:uiPriority w:val="29"/>
    <w:rsid w:val="000B09D2"/>
    <w:rPr>
      <w:i/>
      <w:iCs/>
      <w:color w:val="404040" w:themeColor="text1" w:themeTint="BF"/>
    </w:rPr>
  </w:style>
  <w:style w:type="paragraph" w:styleId="ListParagraph">
    <w:name w:val="List Paragraph"/>
    <w:basedOn w:val="Normal"/>
    <w:uiPriority w:val="34"/>
    <w:qFormat/>
    <w:rsid w:val="000B09D2"/>
    <w:pPr>
      <w:ind w:left="720"/>
      <w:contextualSpacing/>
    </w:pPr>
  </w:style>
  <w:style w:type="character" w:styleId="IntenseEmphasis">
    <w:name w:val="Intense Emphasis"/>
    <w:basedOn w:val="DefaultParagraphFont"/>
    <w:uiPriority w:val="21"/>
    <w:qFormat/>
    <w:rsid w:val="000B09D2"/>
    <w:rPr>
      <w:i/>
      <w:iCs/>
      <w:color w:val="0F4761" w:themeColor="accent1" w:themeShade="BF"/>
    </w:rPr>
  </w:style>
  <w:style w:type="paragraph" w:styleId="IntenseQuote">
    <w:name w:val="Intense Quote"/>
    <w:basedOn w:val="Normal"/>
    <w:next w:val="Normal"/>
    <w:link w:val="IntenseQuoteChar"/>
    <w:uiPriority w:val="30"/>
    <w:qFormat/>
    <w:rsid w:val="000B09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09D2"/>
    <w:rPr>
      <w:i/>
      <w:iCs/>
      <w:color w:val="0F4761" w:themeColor="accent1" w:themeShade="BF"/>
    </w:rPr>
  </w:style>
  <w:style w:type="character" w:styleId="IntenseReference">
    <w:name w:val="Intense Reference"/>
    <w:basedOn w:val="DefaultParagraphFont"/>
    <w:uiPriority w:val="32"/>
    <w:qFormat/>
    <w:rsid w:val="000B09D2"/>
    <w:rPr>
      <w:b/>
      <w:bCs/>
      <w:smallCaps/>
      <w:color w:val="0F4761" w:themeColor="accent1" w:themeShade="BF"/>
      <w:spacing w:val="5"/>
    </w:rPr>
  </w:style>
  <w:style w:type="table" w:customStyle="1" w:styleId="a">
    <w:basedOn w:val="TableNormal"/>
    <w:tblPr>
      <w:tblStyleRowBandSize w:val="1"/>
      <w:tblStyleColBandSize w:val="1"/>
      <w:tblCellMar>
        <w:left w:w="115" w:type="dxa"/>
        <w:right w:w="115" w:type="dxa"/>
      </w:tblCellMar>
    </w:tblPr>
  </w:style>
  <w:style w:type="table" w:styleId="TableGrid">
    <w:name w:val="Table Grid"/>
    <w:basedOn w:val="TableNormal"/>
    <w:uiPriority w:val="39"/>
    <w:rsid w:val="00507E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8THyQzcnbrveUhQOFfbTZMxIQ==">CgMxLjA4AHIhMTQ5QW9HOFNVTi1EZXBTdXU2bWNaTnNUZlkxZXl3MzlO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1418</Words>
  <Characters>7448</Characters>
  <Application>Microsoft Office Word</Application>
  <DocSecurity>0</DocSecurity>
  <Lines>161</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Brooke Baker</dc:creator>
  <cp:lastModifiedBy>Brooke Baker</cp:lastModifiedBy>
  <cp:revision>3</cp:revision>
  <dcterms:created xsi:type="dcterms:W3CDTF">2025-04-04T18:48:00Z</dcterms:created>
  <dcterms:modified xsi:type="dcterms:W3CDTF">2025-04-04T18:54:00Z</dcterms:modified>
</cp:coreProperties>
</file>